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610"/>
        <w:gridCol w:w="8190"/>
      </w:tblGrid>
      <w:tr w:rsidR="00064766" w:rsidRPr="004575B3" w:rsidTr="00D67365">
        <w:trPr>
          <w:trHeight w:val="2391"/>
          <w:jc w:val="center"/>
        </w:trPr>
        <w:tc>
          <w:tcPr>
            <w:tcW w:w="2610" w:type="dxa"/>
            <w:tcBorders>
              <w:top w:val="single" w:sz="4" w:space="0" w:color="435169"/>
              <w:left w:val="single" w:sz="4" w:space="0" w:color="435169"/>
              <w:bottom w:val="single" w:sz="2" w:space="0" w:color="435169"/>
              <w:right w:val="single" w:sz="4" w:space="0" w:color="435169"/>
            </w:tcBorders>
            <w:shd w:val="clear" w:color="auto" w:fill="CED5E0"/>
            <w:vAlign w:val="center"/>
          </w:tcPr>
          <w:p w:rsidR="00064766" w:rsidRPr="00497E92" w:rsidRDefault="00086B79" w:rsidP="00497E92">
            <w:r>
              <w:rPr>
                <w:noProof/>
              </w:rPr>
              <w:drawing>
                <wp:inline distT="0" distB="0" distL="0" distR="0" wp14:anchorId="14F4DB4E" wp14:editId="108E03D3">
                  <wp:extent cx="1905000" cy="952500"/>
                  <wp:effectExtent l="0" t="0" r="0" b="0"/>
                  <wp:docPr id="1" name="Picture 5" descr="C:\Users\whatlema\Documents\GAAE\Sponsor Information\Sponsor Logos 2015\logo_ga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hatlema\Documents\GAAE\Sponsor Information\Sponsor Logos 2015\logo_gaa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c>
          <w:tcPr>
            <w:tcW w:w="8190" w:type="dxa"/>
            <w:tcBorders>
              <w:top w:val="single" w:sz="4" w:space="0" w:color="435169"/>
              <w:left w:val="single" w:sz="4" w:space="0" w:color="435169"/>
              <w:bottom w:val="single" w:sz="2" w:space="0" w:color="435169"/>
              <w:right w:val="single" w:sz="4" w:space="0" w:color="435169"/>
            </w:tcBorders>
            <w:shd w:val="clear" w:color="auto" w:fill="CED5E0"/>
          </w:tcPr>
          <w:p w:rsidR="00064766" w:rsidRPr="004A2143" w:rsidRDefault="005C58A0" w:rsidP="004A2143">
            <w:pPr>
              <w:pStyle w:val="Heading1"/>
              <w:rPr>
                <w:noProof/>
                <w:sz w:val="44"/>
                <w:szCs w:val="44"/>
              </w:rPr>
            </w:pPr>
            <w:r w:rsidRPr="004A2143">
              <w:rPr>
                <w:color w:val="0070C0"/>
                <w:sz w:val="44"/>
                <w:szCs w:val="44"/>
              </w:rPr>
              <w:t>201</w:t>
            </w:r>
            <w:r w:rsidR="00DB055B" w:rsidRPr="004A2143">
              <w:rPr>
                <w:color w:val="0070C0"/>
                <w:sz w:val="44"/>
                <w:szCs w:val="44"/>
              </w:rPr>
              <w:t>7</w:t>
            </w:r>
            <w:r w:rsidRPr="004A2143">
              <w:rPr>
                <w:color w:val="0070C0"/>
                <w:sz w:val="44"/>
                <w:szCs w:val="44"/>
              </w:rPr>
              <w:t xml:space="preserve"> </w:t>
            </w:r>
            <w:r w:rsidR="00064766" w:rsidRPr="004A2143">
              <w:rPr>
                <w:color w:val="0070C0"/>
                <w:sz w:val="44"/>
                <w:szCs w:val="44"/>
              </w:rPr>
              <w:t>Newsletter</w:t>
            </w:r>
            <w:r w:rsidR="004A2143" w:rsidRPr="004A2143">
              <w:rPr>
                <w:color w:val="0070C0"/>
                <w:sz w:val="44"/>
                <w:szCs w:val="44"/>
              </w:rPr>
              <w:t xml:space="preserve"> and 2018 Conference Save the Date</w:t>
            </w:r>
            <w:r w:rsidR="004A2143">
              <w:rPr>
                <w:color w:val="0070C0"/>
                <w:sz w:val="44"/>
                <w:szCs w:val="44"/>
              </w:rPr>
              <w:t>:</w:t>
            </w:r>
            <w:r w:rsidR="004A2143" w:rsidRPr="004A2143">
              <w:rPr>
                <w:color w:val="0070C0"/>
                <w:sz w:val="44"/>
                <w:szCs w:val="44"/>
              </w:rPr>
              <w:t xml:space="preserve"> Feb</w:t>
            </w:r>
            <w:r w:rsidR="004A2143">
              <w:rPr>
                <w:color w:val="0070C0"/>
                <w:sz w:val="44"/>
                <w:szCs w:val="44"/>
              </w:rPr>
              <w:t>ruary</w:t>
            </w:r>
            <w:r w:rsidR="004A2143" w:rsidRPr="004A2143">
              <w:rPr>
                <w:color w:val="0070C0"/>
                <w:sz w:val="44"/>
                <w:szCs w:val="44"/>
              </w:rPr>
              <w:t xml:space="preserve"> 9-10, 2018</w:t>
            </w:r>
          </w:p>
        </w:tc>
      </w:tr>
      <w:tr w:rsidR="00497E92" w:rsidRPr="00D13CEF" w:rsidTr="00A576F5">
        <w:trPr>
          <w:trHeight w:val="288"/>
          <w:jc w:val="center"/>
        </w:trPr>
        <w:tc>
          <w:tcPr>
            <w:tcW w:w="2610" w:type="dxa"/>
            <w:tcBorders>
              <w:top w:val="single" w:sz="2" w:space="0" w:color="435169"/>
              <w:left w:val="single" w:sz="2" w:space="0" w:color="435169"/>
              <w:bottom w:val="single" w:sz="2" w:space="0" w:color="435169"/>
            </w:tcBorders>
            <w:shd w:val="clear" w:color="auto" w:fill="FFCC99"/>
            <w:tcMar>
              <w:left w:w="115" w:type="dxa"/>
              <w:right w:w="72" w:type="dxa"/>
            </w:tcMar>
            <w:vAlign w:val="center"/>
          </w:tcPr>
          <w:p w:rsidR="00497E92" w:rsidRPr="00FE3B28" w:rsidRDefault="00497E92" w:rsidP="00FE3B28">
            <w:pPr>
              <w:pStyle w:val="Date"/>
            </w:pPr>
            <w:r w:rsidRPr="00FE3B28">
              <w:fldChar w:fldCharType="begin"/>
            </w:r>
            <w:r w:rsidRPr="00FE3B28">
              <w:instrText xml:space="preserve"> DATE  \@ "MMMM d, yyyy"  \* MERGEFORMAT </w:instrText>
            </w:r>
            <w:r w:rsidRPr="00FE3B28">
              <w:fldChar w:fldCharType="separate"/>
            </w:r>
            <w:r w:rsidR="0032042F">
              <w:rPr>
                <w:noProof/>
              </w:rPr>
              <w:t>October 9, 2017</w:t>
            </w:r>
            <w:r w:rsidRPr="00FE3B28">
              <w:fldChar w:fldCharType="end"/>
            </w:r>
          </w:p>
        </w:tc>
        <w:tc>
          <w:tcPr>
            <w:tcW w:w="8190" w:type="dxa"/>
            <w:tcBorders>
              <w:top w:val="single" w:sz="2" w:space="0" w:color="435169"/>
              <w:bottom w:val="single" w:sz="2" w:space="0" w:color="435169"/>
              <w:right w:val="single" w:sz="2" w:space="0" w:color="435169"/>
            </w:tcBorders>
            <w:shd w:val="clear" w:color="auto" w:fill="FFCC99"/>
          </w:tcPr>
          <w:p w:rsidR="00497E92" w:rsidRPr="00D13CEF" w:rsidRDefault="00497E92" w:rsidP="00F90583">
            <w:pPr>
              <w:pStyle w:val="Volume"/>
            </w:pPr>
            <w:r w:rsidRPr="00D13CEF">
              <w:t xml:space="preserve">Volume </w:t>
            </w:r>
            <w:r w:rsidR="00DB055B">
              <w:t>2</w:t>
            </w:r>
            <w:r w:rsidRPr="00D13CEF">
              <w:t>, Number 1</w:t>
            </w:r>
          </w:p>
        </w:tc>
      </w:tr>
      <w:tr w:rsidR="00497E92" w:rsidRPr="00D13CEF" w:rsidTr="00787699">
        <w:trPr>
          <w:trHeight w:val="10944"/>
          <w:jc w:val="center"/>
        </w:trPr>
        <w:tc>
          <w:tcPr>
            <w:tcW w:w="2610" w:type="dxa"/>
            <w:tcBorders>
              <w:top w:val="single" w:sz="2" w:space="0" w:color="435169"/>
              <w:left w:val="single" w:sz="2" w:space="0" w:color="435169"/>
              <w:bottom w:val="single" w:sz="2" w:space="0" w:color="435169"/>
              <w:right w:val="single" w:sz="2" w:space="0" w:color="435169"/>
            </w:tcBorders>
            <w:shd w:val="clear" w:color="auto" w:fill="EAEDF2"/>
          </w:tcPr>
          <w:tbl>
            <w:tblPr>
              <w:tblStyle w:val="TableGrid"/>
              <w:tblW w:w="2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1E0" w:firstRow="1" w:lastRow="1" w:firstColumn="1" w:lastColumn="1" w:noHBand="0" w:noVBand="0"/>
            </w:tblPr>
            <w:tblGrid>
              <w:gridCol w:w="2283"/>
            </w:tblGrid>
            <w:tr w:rsidR="00497E92" w:rsidRPr="00172445">
              <w:trPr>
                <w:jc w:val="center"/>
              </w:trPr>
              <w:tc>
                <w:tcPr>
                  <w:tcW w:w="2160" w:type="dxa"/>
                  <w:tcMar>
                    <w:top w:w="2880" w:type="dxa"/>
                  </w:tcMar>
                </w:tcPr>
                <w:p w:rsidR="00497E92" w:rsidRPr="004A2143" w:rsidRDefault="00497E92" w:rsidP="006B50D1">
                  <w:pPr>
                    <w:pStyle w:val="StyleQuotationLeft0"/>
                    <w:rPr>
                      <w:rFonts w:ascii="Arial" w:hAnsi="Arial" w:cs="Arial"/>
                      <w:b/>
                      <w:sz w:val="28"/>
                      <w:szCs w:val="28"/>
                    </w:rPr>
                  </w:pPr>
                  <w:r w:rsidRPr="004A2143">
                    <w:rPr>
                      <w:rFonts w:ascii="Arial" w:hAnsi="Arial" w:cs="Arial"/>
                      <w:b/>
                      <w:color w:val="0070C0"/>
                      <w:sz w:val="28"/>
                      <w:szCs w:val="28"/>
                    </w:rPr>
                    <w:t xml:space="preserve">“Make sure you </w:t>
                  </w:r>
                  <w:r w:rsidR="00086B79" w:rsidRPr="004A2143">
                    <w:rPr>
                      <w:rFonts w:ascii="Arial" w:hAnsi="Arial" w:cs="Arial"/>
                      <w:b/>
                      <w:color w:val="0070C0"/>
                      <w:sz w:val="28"/>
                      <w:szCs w:val="28"/>
                    </w:rPr>
                    <w:t xml:space="preserve">have the </w:t>
                  </w:r>
                  <w:r w:rsidR="005C58A0" w:rsidRPr="004A2143">
                    <w:rPr>
                      <w:rFonts w:ascii="Arial" w:hAnsi="Arial" w:cs="Arial"/>
                      <w:b/>
                      <w:color w:val="0070C0"/>
                      <w:sz w:val="28"/>
                      <w:szCs w:val="28"/>
                    </w:rPr>
                    <w:t xml:space="preserve">(February </w:t>
                  </w:r>
                  <w:r w:rsidR="006B50D1" w:rsidRPr="004A2143">
                    <w:rPr>
                      <w:rFonts w:ascii="Arial" w:hAnsi="Arial" w:cs="Arial"/>
                      <w:b/>
                      <w:color w:val="0070C0"/>
                      <w:sz w:val="28"/>
                      <w:szCs w:val="28"/>
                    </w:rPr>
                    <w:t xml:space="preserve">9th </w:t>
                  </w:r>
                  <w:r w:rsidR="005C58A0" w:rsidRPr="004A2143">
                    <w:rPr>
                      <w:rFonts w:ascii="Arial" w:hAnsi="Arial" w:cs="Arial"/>
                      <w:b/>
                      <w:color w:val="0070C0"/>
                      <w:sz w:val="28"/>
                      <w:szCs w:val="28"/>
                    </w:rPr>
                    <w:t xml:space="preserve">and </w:t>
                  </w:r>
                  <w:r w:rsidR="006B50D1" w:rsidRPr="004A2143">
                    <w:rPr>
                      <w:rFonts w:ascii="Arial" w:hAnsi="Arial" w:cs="Arial"/>
                      <w:b/>
                      <w:color w:val="0070C0"/>
                      <w:sz w:val="28"/>
                      <w:szCs w:val="28"/>
                    </w:rPr>
                    <w:t>10</w:t>
                  </w:r>
                  <w:r w:rsidR="006B50D1" w:rsidRPr="004A2143">
                    <w:rPr>
                      <w:rFonts w:ascii="Arial" w:hAnsi="Arial" w:cs="Arial"/>
                      <w:b/>
                      <w:color w:val="0070C0"/>
                      <w:sz w:val="28"/>
                      <w:szCs w:val="28"/>
                      <w:vertAlign w:val="superscript"/>
                    </w:rPr>
                    <w:t>th</w:t>
                  </w:r>
                  <w:r w:rsidR="006B50D1" w:rsidRPr="004A2143">
                    <w:rPr>
                      <w:rFonts w:ascii="Arial" w:hAnsi="Arial" w:cs="Arial"/>
                      <w:b/>
                      <w:color w:val="0070C0"/>
                      <w:sz w:val="28"/>
                      <w:szCs w:val="28"/>
                    </w:rPr>
                    <w:t xml:space="preserve"> </w:t>
                  </w:r>
                  <w:r w:rsidR="005C58A0" w:rsidRPr="004A2143">
                    <w:rPr>
                      <w:rFonts w:ascii="Arial" w:hAnsi="Arial" w:cs="Arial"/>
                      <w:b/>
                      <w:color w:val="0070C0"/>
                      <w:sz w:val="28"/>
                      <w:szCs w:val="28"/>
                    </w:rPr>
                    <w:t>201</w:t>
                  </w:r>
                  <w:r w:rsidR="006B50D1" w:rsidRPr="004A2143">
                    <w:rPr>
                      <w:rFonts w:ascii="Arial" w:hAnsi="Arial" w:cs="Arial"/>
                      <w:b/>
                      <w:color w:val="0070C0"/>
                      <w:sz w:val="28"/>
                      <w:szCs w:val="28"/>
                    </w:rPr>
                    <w:t>8</w:t>
                  </w:r>
                  <w:r w:rsidR="005C58A0" w:rsidRPr="004A2143">
                    <w:rPr>
                      <w:rFonts w:ascii="Arial" w:hAnsi="Arial" w:cs="Arial"/>
                      <w:b/>
                      <w:color w:val="0070C0"/>
                      <w:sz w:val="28"/>
                      <w:szCs w:val="28"/>
                    </w:rPr>
                    <w:t>)</w:t>
                  </w:r>
                  <w:r w:rsidR="00086B79" w:rsidRPr="004A2143">
                    <w:rPr>
                      <w:rFonts w:ascii="Arial" w:hAnsi="Arial" w:cs="Arial"/>
                      <w:b/>
                      <w:color w:val="0070C0"/>
                      <w:sz w:val="28"/>
                      <w:szCs w:val="28"/>
                    </w:rPr>
                    <w:t xml:space="preserve"> meeting on your mind and in your calendar</w:t>
                  </w:r>
                  <w:r w:rsidR="005C58A0" w:rsidRPr="004A2143">
                    <w:rPr>
                      <w:rFonts w:ascii="Arial" w:hAnsi="Arial" w:cs="Arial"/>
                      <w:b/>
                      <w:color w:val="0070C0"/>
                      <w:sz w:val="28"/>
                      <w:szCs w:val="28"/>
                    </w:rPr>
                    <w:t>s</w:t>
                  </w:r>
                  <w:r w:rsidRPr="004A2143">
                    <w:rPr>
                      <w:rFonts w:ascii="Arial" w:hAnsi="Arial" w:cs="Arial"/>
                      <w:b/>
                      <w:color w:val="0070C0"/>
                      <w:sz w:val="28"/>
                      <w:szCs w:val="28"/>
                    </w:rPr>
                    <w:t>.”</w:t>
                  </w:r>
                </w:p>
              </w:tc>
            </w:tr>
            <w:tr w:rsidR="00497E92">
              <w:trPr>
                <w:jc w:val="center"/>
              </w:trPr>
              <w:tc>
                <w:tcPr>
                  <w:tcW w:w="2160" w:type="dxa"/>
                  <w:tcMar>
                    <w:top w:w="2880" w:type="dxa"/>
                  </w:tcMar>
                </w:tcPr>
                <w:p w:rsidR="005C58A0" w:rsidRPr="005C58A0" w:rsidRDefault="00A576F5" w:rsidP="005C58A0">
                  <w:pPr>
                    <w:pStyle w:val="Heading3"/>
                    <w:rPr>
                      <w:rFonts w:ascii="Arial" w:hAnsi="Arial" w:cs="Arial"/>
                      <w:bCs/>
                      <w:i/>
                      <w:iCs/>
                      <w:color w:val="1F497D"/>
                      <w:szCs w:val="22"/>
                    </w:rPr>
                  </w:pPr>
                  <w:r>
                    <w:rPr>
                      <w:rFonts w:ascii="Arial" w:hAnsi="Arial" w:cs="Arial"/>
                      <w:bCs/>
                      <w:i/>
                      <w:iCs/>
                      <w:color w:val="1F497D"/>
                      <w:szCs w:val="22"/>
                    </w:rPr>
                    <w:t>Make</w:t>
                  </w:r>
                  <w:r w:rsidR="005C58A0" w:rsidRPr="005C58A0">
                    <w:rPr>
                      <w:rFonts w:ascii="Arial" w:hAnsi="Arial" w:cs="Arial"/>
                      <w:bCs/>
                      <w:i/>
                      <w:iCs/>
                      <w:color w:val="1F497D"/>
                      <w:szCs w:val="22"/>
                    </w:rPr>
                    <w:t xml:space="preserve"> your </w:t>
                  </w:r>
                  <w:r>
                    <w:rPr>
                      <w:rFonts w:ascii="Arial" w:hAnsi="Arial" w:cs="Arial"/>
                      <w:bCs/>
                      <w:i/>
                      <w:iCs/>
                      <w:color w:val="1F497D"/>
                      <w:szCs w:val="22"/>
                    </w:rPr>
                    <w:t>201</w:t>
                  </w:r>
                  <w:r w:rsidR="006B50D1">
                    <w:rPr>
                      <w:rFonts w:ascii="Arial" w:hAnsi="Arial" w:cs="Arial"/>
                      <w:bCs/>
                      <w:i/>
                      <w:iCs/>
                      <w:color w:val="1F497D"/>
                      <w:szCs w:val="22"/>
                    </w:rPr>
                    <w:t>8</w:t>
                  </w:r>
                  <w:r>
                    <w:rPr>
                      <w:rFonts w:ascii="Arial" w:hAnsi="Arial" w:cs="Arial"/>
                      <w:bCs/>
                      <w:i/>
                      <w:iCs/>
                      <w:color w:val="1F497D"/>
                      <w:szCs w:val="22"/>
                    </w:rPr>
                    <w:t xml:space="preserve"> </w:t>
                  </w:r>
                  <w:r w:rsidR="004A2143">
                    <w:rPr>
                      <w:rFonts w:ascii="Arial" w:hAnsi="Arial" w:cs="Arial"/>
                      <w:bCs/>
                      <w:i/>
                      <w:iCs/>
                      <w:color w:val="1F497D"/>
                      <w:szCs w:val="22"/>
                    </w:rPr>
                    <w:t>plans. Information on registration, hotel accommodations, etc.</w:t>
                  </w:r>
                  <w:r w:rsidR="00D67365">
                    <w:rPr>
                      <w:rFonts w:ascii="Arial" w:hAnsi="Arial" w:cs="Arial"/>
                      <w:bCs/>
                      <w:i/>
                      <w:iCs/>
                      <w:color w:val="1F497D"/>
                      <w:szCs w:val="22"/>
                    </w:rPr>
                    <w:t xml:space="preserve"> </w:t>
                  </w:r>
                  <w:r w:rsidR="004A2143">
                    <w:rPr>
                      <w:rFonts w:ascii="Arial" w:hAnsi="Arial" w:cs="Arial"/>
                      <w:bCs/>
                      <w:i/>
                      <w:iCs/>
                      <w:color w:val="1F497D"/>
                      <w:szCs w:val="22"/>
                    </w:rPr>
                    <w:t>coming soon. Visit our website: GAAE. org</w:t>
                  </w:r>
                </w:p>
                <w:p w:rsidR="00A576F5" w:rsidRDefault="00A576F5" w:rsidP="00A576F5">
                  <w:pPr>
                    <w:pStyle w:val="Quotation2Numbered"/>
                    <w:numPr>
                      <w:ilvl w:val="0"/>
                      <w:numId w:val="0"/>
                    </w:numPr>
                    <w:ind w:left="216"/>
                    <w:rPr>
                      <w:rFonts w:ascii="Arial" w:hAnsi="Arial" w:cs="Arial"/>
                      <w:bCs/>
                      <w:iCs/>
                      <w:color w:val="1F497D"/>
                      <w:sz w:val="24"/>
                    </w:rPr>
                  </w:pPr>
                </w:p>
                <w:p w:rsidR="00A576F5" w:rsidRDefault="00A576F5" w:rsidP="00A576F5">
                  <w:pPr>
                    <w:pStyle w:val="Quotation2Numbered"/>
                    <w:numPr>
                      <w:ilvl w:val="0"/>
                      <w:numId w:val="0"/>
                    </w:numPr>
                    <w:ind w:left="216"/>
                    <w:rPr>
                      <w:rFonts w:ascii="Arial" w:hAnsi="Arial" w:cs="Arial"/>
                      <w:bCs/>
                      <w:iCs/>
                      <w:color w:val="1F497D"/>
                      <w:sz w:val="24"/>
                    </w:rPr>
                  </w:pPr>
                </w:p>
                <w:p w:rsidR="00A576F5" w:rsidRDefault="00A576F5" w:rsidP="00A576F5">
                  <w:pPr>
                    <w:pStyle w:val="Quotation2Numbered"/>
                    <w:numPr>
                      <w:ilvl w:val="0"/>
                      <w:numId w:val="0"/>
                    </w:numPr>
                    <w:ind w:left="216"/>
                    <w:rPr>
                      <w:rFonts w:ascii="Arial" w:hAnsi="Arial" w:cs="Arial"/>
                      <w:bCs/>
                      <w:iCs/>
                      <w:color w:val="1F497D"/>
                      <w:sz w:val="24"/>
                    </w:rPr>
                  </w:pPr>
                </w:p>
                <w:p w:rsidR="00A576F5" w:rsidRDefault="00A576F5" w:rsidP="00A576F5">
                  <w:pPr>
                    <w:pStyle w:val="Quotation2Numbered"/>
                    <w:numPr>
                      <w:ilvl w:val="0"/>
                      <w:numId w:val="0"/>
                    </w:numPr>
                    <w:ind w:left="216"/>
                    <w:rPr>
                      <w:rFonts w:ascii="Arial" w:hAnsi="Arial" w:cs="Arial"/>
                      <w:bCs/>
                      <w:iCs/>
                      <w:color w:val="1F497D"/>
                      <w:sz w:val="24"/>
                    </w:rPr>
                  </w:pPr>
                </w:p>
                <w:p w:rsidR="00A576F5" w:rsidRDefault="00A576F5" w:rsidP="00A576F5">
                  <w:pPr>
                    <w:pStyle w:val="Quotation2Numbered"/>
                    <w:numPr>
                      <w:ilvl w:val="0"/>
                      <w:numId w:val="0"/>
                    </w:numPr>
                    <w:ind w:left="216"/>
                    <w:rPr>
                      <w:rFonts w:ascii="Arial" w:hAnsi="Arial" w:cs="Arial"/>
                      <w:bCs/>
                      <w:iCs/>
                      <w:color w:val="1F497D"/>
                      <w:sz w:val="24"/>
                    </w:rPr>
                  </w:pPr>
                </w:p>
                <w:p w:rsidR="00497E92" w:rsidRPr="004C0892" w:rsidRDefault="00A576F5" w:rsidP="00A576F5">
                  <w:pPr>
                    <w:pStyle w:val="Quotation2Numbered"/>
                    <w:numPr>
                      <w:ilvl w:val="0"/>
                      <w:numId w:val="0"/>
                    </w:numPr>
                    <w:ind w:left="216"/>
                    <w:rPr>
                      <w:b/>
                    </w:rPr>
                  </w:pPr>
                  <w:r w:rsidRPr="004C0892">
                    <w:rPr>
                      <w:rFonts w:ascii="Arial" w:hAnsi="Arial" w:cs="Arial"/>
                      <w:b/>
                      <w:bCs/>
                      <w:iCs/>
                      <w:color w:val="1F497D"/>
                      <w:sz w:val="22"/>
                    </w:rPr>
                    <w:t>Our annual conference would not be possible without th</w:t>
                  </w:r>
                  <w:r w:rsidR="004C0892" w:rsidRPr="004C0892">
                    <w:rPr>
                      <w:rFonts w:ascii="Arial" w:hAnsi="Arial" w:cs="Arial"/>
                      <w:b/>
                      <w:bCs/>
                      <w:iCs/>
                      <w:color w:val="1F497D"/>
                      <w:sz w:val="22"/>
                    </w:rPr>
                    <w:t xml:space="preserve">e financial support of our many </w:t>
                  </w:r>
                  <w:r w:rsidRPr="004C0892">
                    <w:rPr>
                      <w:rFonts w:ascii="Arial" w:hAnsi="Arial" w:cs="Arial"/>
                      <w:b/>
                      <w:bCs/>
                      <w:iCs/>
                      <w:color w:val="1F497D"/>
                      <w:sz w:val="22"/>
                    </w:rPr>
                    <w:t>sponsors.</w:t>
                  </w:r>
                </w:p>
              </w:tc>
            </w:tr>
          </w:tbl>
          <w:p w:rsidR="00497E92" w:rsidRPr="00D13CEF" w:rsidRDefault="00497E92" w:rsidP="00FD4EBE">
            <w:pPr>
              <w:pStyle w:val="Quotation2Numbered"/>
              <w:numPr>
                <w:ilvl w:val="0"/>
                <w:numId w:val="0"/>
              </w:numPr>
              <w:ind w:left="216"/>
            </w:pPr>
          </w:p>
        </w:tc>
        <w:tc>
          <w:tcPr>
            <w:tcW w:w="8190" w:type="dxa"/>
            <w:tcBorders>
              <w:top w:val="single" w:sz="2" w:space="0" w:color="435169"/>
              <w:left w:val="single" w:sz="2" w:space="0" w:color="435169"/>
              <w:bottom w:val="single" w:sz="2" w:space="0" w:color="435169"/>
              <w:right w:val="single" w:sz="2" w:space="0" w:color="435169"/>
            </w:tcBorders>
          </w:tcPr>
          <w:p w:rsidR="00497E92" w:rsidRPr="00D13CEF" w:rsidRDefault="00497E92" w:rsidP="00F90583">
            <w:pPr>
              <w:pStyle w:val="Heading2"/>
            </w:pPr>
            <w:r w:rsidRPr="00D13CEF">
              <w:lastRenderedPageBreak/>
              <w:t xml:space="preserve">Staying in </w:t>
            </w:r>
            <w:r>
              <w:t>t</w:t>
            </w:r>
            <w:r w:rsidRPr="00474941">
              <w:t>ouch</w:t>
            </w:r>
            <w:r w:rsidRPr="00D13CEF">
              <w:t xml:space="preserve"> </w:t>
            </w:r>
            <w:r>
              <w:t>with</w:t>
            </w:r>
            <w:r w:rsidRPr="00D13CEF">
              <w:t xml:space="preserve"> </w:t>
            </w:r>
            <w:r w:rsidR="00086B79">
              <w:t>our Accounting educators</w:t>
            </w:r>
          </w:p>
          <w:p w:rsidR="00086B79" w:rsidRPr="005C58A0" w:rsidRDefault="00086B79" w:rsidP="00086B79">
            <w:pPr>
              <w:shd w:val="clear" w:color="auto" w:fill="FFFFFF"/>
              <w:rPr>
                <w:rFonts w:ascii="Arial" w:hAnsi="Arial" w:cs="Arial"/>
                <w:b/>
                <w:bCs/>
                <w:iCs/>
                <w:color w:val="1F497D"/>
                <w:sz w:val="22"/>
                <w:szCs w:val="22"/>
              </w:rPr>
            </w:pPr>
            <w:r w:rsidRPr="005C58A0">
              <w:rPr>
                <w:rFonts w:ascii="Arial" w:hAnsi="Arial" w:cs="Arial"/>
                <w:b/>
                <w:bCs/>
                <w:iCs/>
                <w:color w:val="1F497D"/>
                <w:sz w:val="22"/>
                <w:szCs w:val="22"/>
              </w:rPr>
              <w:t xml:space="preserve">It is hard to believe that the summer is nearly over. Whether you have spent your summer researching, teaching, or relaxing </w:t>
            </w:r>
            <w:r w:rsidR="001657CD">
              <w:rPr>
                <w:rFonts w:ascii="Arial" w:hAnsi="Arial" w:cs="Arial"/>
                <w:b/>
                <w:bCs/>
                <w:iCs/>
                <w:color w:val="1F497D"/>
                <w:sz w:val="22"/>
                <w:szCs w:val="22"/>
              </w:rPr>
              <w:t>w</w:t>
            </w:r>
            <w:r w:rsidR="00822CEA" w:rsidRPr="005C58A0">
              <w:rPr>
                <w:rFonts w:ascii="Arial" w:hAnsi="Arial" w:cs="Arial"/>
                <w:b/>
                <w:bCs/>
                <w:iCs/>
                <w:color w:val="1F497D"/>
                <w:sz w:val="22"/>
                <w:szCs w:val="22"/>
              </w:rPr>
              <w:t xml:space="preserve">e hope that </w:t>
            </w:r>
            <w:r w:rsidR="001657CD">
              <w:rPr>
                <w:rFonts w:ascii="Arial" w:hAnsi="Arial" w:cs="Arial"/>
                <w:b/>
                <w:bCs/>
                <w:iCs/>
                <w:color w:val="1F497D"/>
                <w:sz w:val="22"/>
                <w:szCs w:val="22"/>
              </w:rPr>
              <w:t xml:space="preserve">you have </w:t>
            </w:r>
            <w:r w:rsidR="00822CEA" w:rsidRPr="005C58A0">
              <w:rPr>
                <w:rFonts w:ascii="Arial" w:hAnsi="Arial" w:cs="Arial"/>
                <w:b/>
                <w:bCs/>
                <w:iCs/>
                <w:color w:val="1F497D"/>
                <w:sz w:val="22"/>
                <w:szCs w:val="22"/>
              </w:rPr>
              <w:t>been able to take some time off to recharge, refresh, and reboot and enjoy</w:t>
            </w:r>
            <w:r w:rsidRPr="005C58A0">
              <w:rPr>
                <w:rFonts w:ascii="Arial" w:hAnsi="Arial" w:cs="Arial"/>
                <w:b/>
                <w:bCs/>
                <w:iCs/>
                <w:color w:val="1F497D"/>
                <w:sz w:val="22"/>
                <w:szCs w:val="22"/>
              </w:rPr>
              <w:t xml:space="preserve"> your time away from the demands of committee work, </w:t>
            </w:r>
            <w:r w:rsidR="001657CD">
              <w:rPr>
                <w:rFonts w:ascii="Arial" w:hAnsi="Arial" w:cs="Arial"/>
                <w:b/>
                <w:bCs/>
                <w:iCs/>
                <w:color w:val="1F497D"/>
                <w:sz w:val="22"/>
                <w:szCs w:val="22"/>
              </w:rPr>
              <w:t xml:space="preserve">faculty meetings, and full teaching loads. </w:t>
            </w:r>
            <w:r w:rsidRPr="005C58A0">
              <w:rPr>
                <w:rFonts w:ascii="Arial" w:hAnsi="Arial" w:cs="Arial"/>
                <w:b/>
                <w:bCs/>
                <w:iCs/>
                <w:color w:val="1F497D"/>
                <w:sz w:val="22"/>
                <w:szCs w:val="22"/>
              </w:rPr>
              <w:t xml:space="preserve"> </w:t>
            </w:r>
            <w:r w:rsidR="005C58A0">
              <w:rPr>
                <w:rFonts w:ascii="Arial" w:hAnsi="Arial" w:cs="Arial"/>
                <w:b/>
                <w:bCs/>
                <w:iCs/>
                <w:color w:val="1F497D"/>
                <w:sz w:val="22"/>
                <w:szCs w:val="22"/>
              </w:rPr>
              <w:t>By all measures our 201</w:t>
            </w:r>
            <w:r w:rsidR="00D97EAB">
              <w:rPr>
                <w:rFonts w:ascii="Arial" w:hAnsi="Arial" w:cs="Arial"/>
                <w:b/>
                <w:bCs/>
                <w:iCs/>
                <w:color w:val="1F497D"/>
                <w:sz w:val="22"/>
                <w:szCs w:val="22"/>
              </w:rPr>
              <w:t>7</w:t>
            </w:r>
            <w:r w:rsidR="005C58A0">
              <w:rPr>
                <w:rFonts w:ascii="Arial" w:hAnsi="Arial" w:cs="Arial"/>
                <w:b/>
                <w:bCs/>
                <w:iCs/>
                <w:color w:val="1F497D"/>
                <w:sz w:val="22"/>
                <w:szCs w:val="22"/>
              </w:rPr>
              <w:t xml:space="preserve"> Annual Meeting was a success. However, we have used your survey to help us plan for our 201</w:t>
            </w:r>
            <w:r w:rsidR="00D97EAB">
              <w:rPr>
                <w:rFonts w:ascii="Arial" w:hAnsi="Arial" w:cs="Arial"/>
                <w:b/>
                <w:bCs/>
                <w:iCs/>
                <w:color w:val="1F497D"/>
                <w:sz w:val="22"/>
                <w:szCs w:val="22"/>
              </w:rPr>
              <w:t>8</w:t>
            </w:r>
            <w:r w:rsidR="005C58A0">
              <w:rPr>
                <w:rFonts w:ascii="Arial" w:hAnsi="Arial" w:cs="Arial"/>
                <w:b/>
                <w:bCs/>
                <w:iCs/>
                <w:color w:val="1F497D"/>
                <w:sz w:val="22"/>
                <w:szCs w:val="22"/>
              </w:rPr>
              <w:t xml:space="preserve"> meeting. We are grateful for all our 201</w:t>
            </w:r>
            <w:r w:rsidR="00D97EAB">
              <w:rPr>
                <w:rFonts w:ascii="Arial" w:hAnsi="Arial" w:cs="Arial"/>
                <w:b/>
                <w:bCs/>
                <w:iCs/>
                <w:color w:val="1F497D"/>
                <w:sz w:val="22"/>
                <w:szCs w:val="22"/>
              </w:rPr>
              <w:t>7</w:t>
            </w:r>
            <w:r w:rsidR="005C58A0">
              <w:rPr>
                <w:rFonts w:ascii="Arial" w:hAnsi="Arial" w:cs="Arial"/>
                <w:b/>
                <w:bCs/>
                <w:iCs/>
                <w:color w:val="1F497D"/>
                <w:sz w:val="22"/>
                <w:szCs w:val="22"/>
              </w:rPr>
              <w:t xml:space="preserve"> sponsors and have highlighted each of the organizations below. </w:t>
            </w:r>
          </w:p>
          <w:p w:rsidR="00497E92" w:rsidRPr="00D13CEF" w:rsidRDefault="005C58A0" w:rsidP="00F90583">
            <w:pPr>
              <w:pStyle w:val="Heading3"/>
            </w:pPr>
            <w:r>
              <w:t>201</w:t>
            </w:r>
            <w:r w:rsidR="006B50D1">
              <w:t>8</w:t>
            </w:r>
            <w:r>
              <w:t xml:space="preserve"> Annual Meeting </w:t>
            </w:r>
            <w:r w:rsidR="00D67365">
              <w:t xml:space="preserve">Dates and </w:t>
            </w:r>
            <w:r>
              <w:t>Highlights</w:t>
            </w:r>
          </w:p>
          <w:p w:rsidR="005C58A0" w:rsidRPr="00D67365" w:rsidRDefault="005C58A0" w:rsidP="005C58A0">
            <w:pPr>
              <w:pStyle w:val="Heading3"/>
              <w:rPr>
                <w:rFonts w:ascii="Arial" w:hAnsi="Arial" w:cs="Arial"/>
                <w:bCs/>
                <w:iCs/>
                <w:color w:val="002060"/>
                <w:szCs w:val="22"/>
              </w:rPr>
            </w:pPr>
            <w:r w:rsidRPr="00D67365">
              <w:rPr>
                <w:rFonts w:ascii="Arial" w:hAnsi="Arial" w:cs="Arial"/>
                <w:bCs/>
                <w:iCs/>
                <w:color w:val="002060"/>
                <w:szCs w:val="22"/>
              </w:rPr>
              <w:t>We look forward to hosting the 210</w:t>
            </w:r>
            <w:r w:rsidR="006B50D1" w:rsidRPr="00D67365">
              <w:rPr>
                <w:rFonts w:ascii="Arial" w:hAnsi="Arial" w:cs="Arial"/>
                <w:bCs/>
                <w:iCs/>
                <w:color w:val="002060"/>
                <w:szCs w:val="22"/>
              </w:rPr>
              <w:t>8</w:t>
            </w:r>
            <w:r w:rsidRPr="00D67365">
              <w:rPr>
                <w:rFonts w:ascii="Arial" w:hAnsi="Arial" w:cs="Arial"/>
                <w:bCs/>
                <w:iCs/>
                <w:color w:val="002060"/>
                <w:szCs w:val="22"/>
              </w:rPr>
              <w:t xml:space="preserve"> Annual meeting February </w:t>
            </w:r>
            <w:r w:rsidR="006B50D1" w:rsidRPr="00D67365">
              <w:rPr>
                <w:rFonts w:ascii="Arial" w:hAnsi="Arial" w:cs="Arial"/>
                <w:bCs/>
                <w:iCs/>
                <w:color w:val="002060"/>
                <w:szCs w:val="22"/>
              </w:rPr>
              <w:t xml:space="preserve">9th </w:t>
            </w:r>
            <w:r w:rsidRPr="00D67365">
              <w:rPr>
                <w:rFonts w:ascii="Arial" w:hAnsi="Arial" w:cs="Arial"/>
                <w:bCs/>
                <w:iCs/>
                <w:color w:val="002060"/>
                <w:szCs w:val="22"/>
              </w:rPr>
              <w:t xml:space="preserve">and </w:t>
            </w:r>
            <w:r w:rsidR="006B50D1" w:rsidRPr="00D67365">
              <w:rPr>
                <w:rFonts w:ascii="Arial" w:hAnsi="Arial" w:cs="Arial"/>
                <w:bCs/>
                <w:iCs/>
                <w:color w:val="002060"/>
                <w:szCs w:val="22"/>
              </w:rPr>
              <w:t>10</w:t>
            </w:r>
            <w:r w:rsidRPr="00D67365">
              <w:rPr>
                <w:rFonts w:ascii="Arial" w:hAnsi="Arial" w:cs="Arial"/>
                <w:bCs/>
                <w:iCs/>
                <w:color w:val="002060"/>
                <w:szCs w:val="22"/>
                <w:vertAlign w:val="superscript"/>
              </w:rPr>
              <w:t>th</w:t>
            </w:r>
            <w:r w:rsidRPr="00D67365">
              <w:rPr>
                <w:rFonts w:ascii="Arial" w:hAnsi="Arial" w:cs="Arial"/>
                <w:bCs/>
                <w:iCs/>
                <w:color w:val="002060"/>
                <w:szCs w:val="22"/>
              </w:rPr>
              <w:t xml:space="preserve">, </w:t>
            </w:r>
            <w:r w:rsidR="006B50D1" w:rsidRPr="00D67365">
              <w:rPr>
                <w:rFonts w:ascii="Arial" w:hAnsi="Arial" w:cs="Arial"/>
                <w:bCs/>
                <w:iCs/>
                <w:color w:val="002060"/>
                <w:szCs w:val="22"/>
              </w:rPr>
              <w:t xml:space="preserve">2018 the Kennesaw State University Conference Center. </w:t>
            </w:r>
            <w:r w:rsidRPr="00D67365">
              <w:rPr>
                <w:rFonts w:ascii="Arial" w:hAnsi="Arial" w:cs="Arial"/>
                <w:bCs/>
                <w:iCs/>
                <w:color w:val="002060"/>
                <w:szCs w:val="22"/>
              </w:rPr>
              <w:t xml:space="preserve"> </w:t>
            </w:r>
          </w:p>
          <w:p w:rsidR="005C58A0" w:rsidRDefault="005C58A0" w:rsidP="005C58A0">
            <w:pPr>
              <w:shd w:val="clear" w:color="auto" w:fill="FFFFFF"/>
              <w:rPr>
                <w:rFonts w:ascii="Arial" w:hAnsi="Arial" w:cs="Arial"/>
                <w:b/>
                <w:bCs/>
                <w:iCs/>
                <w:color w:val="1F497D"/>
                <w:sz w:val="22"/>
                <w:szCs w:val="22"/>
              </w:rPr>
            </w:pPr>
          </w:p>
          <w:p w:rsidR="009D3C70" w:rsidRPr="009D3C70" w:rsidRDefault="009D3C70" w:rsidP="009D3C70">
            <w:pPr>
              <w:pStyle w:val="NormalWeb"/>
              <w:shd w:val="clear" w:color="auto" w:fill="FFFFFF"/>
              <w:spacing w:before="0" w:beforeAutospacing="0" w:after="0" w:afterAutospacing="0"/>
              <w:rPr>
                <w:color w:val="000000"/>
              </w:rPr>
            </w:pPr>
            <w:r w:rsidRPr="009D3C70">
              <w:rPr>
                <w:b/>
                <w:bCs/>
                <w:iCs/>
                <w:color w:val="1F497D"/>
              </w:rPr>
              <w:t xml:space="preserve">We are excited to announce that our </w:t>
            </w:r>
            <w:r w:rsidR="006B50D1" w:rsidRPr="009D3C70">
              <w:rPr>
                <w:b/>
                <w:bCs/>
                <w:iCs/>
                <w:color w:val="1F497D"/>
              </w:rPr>
              <w:t xml:space="preserve">Friday </w:t>
            </w:r>
            <w:r w:rsidRPr="009D3C70">
              <w:rPr>
                <w:b/>
                <w:bCs/>
                <w:iCs/>
                <w:color w:val="1F497D"/>
              </w:rPr>
              <w:t xml:space="preserve">Keynote </w:t>
            </w:r>
            <w:r w:rsidR="006B50D1" w:rsidRPr="009D3C70">
              <w:rPr>
                <w:b/>
                <w:bCs/>
                <w:iCs/>
                <w:color w:val="1F497D"/>
              </w:rPr>
              <w:t xml:space="preserve">Speaker will be </w:t>
            </w:r>
            <w:r w:rsidRPr="009D3C70">
              <w:rPr>
                <w:b/>
                <w:bCs/>
                <w:color w:val="222222"/>
                <w:shd w:val="clear" w:color="auto" w:fill="FFFFFF"/>
              </w:rPr>
              <w:t xml:space="preserve">Denise </w:t>
            </w:r>
            <w:proofErr w:type="spellStart"/>
            <w:r w:rsidRPr="009D3C70">
              <w:rPr>
                <w:b/>
                <w:bCs/>
                <w:color w:val="222222"/>
                <w:shd w:val="clear" w:color="auto" w:fill="FFFFFF"/>
              </w:rPr>
              <w:t>Schmandt-Besserat</w:t>
            </w:r>
            <w:proofErr w:type="spellEnd"/>
            <w:r w:rsidR="00B1350E">
              <w:rPr>
                <w:b/>
                <w:bCs/>
                <w:color w:val="222222"/>
                <w:shd w:val="clear" w:color="auto" w:fill="FFFFFF"/>
              </w:rPr>
              <w:t>,</w:t>
            </w:r>
            <w:r w:rsidRPr="009D3C70">
              <w:rPr>
                <w:color w:val="222222"/>
                <w:shd w:val="clear" w:color="auto" w:fill="FFFFFF"/>
              </w:rPr>
              <w:t> a French-American </w:t>
            </w:r>
            <w:r w:rsidR="00B1350E" w:rsidRPr="00B1350E">
              <w:rPr>
                <w:shd w:val="clear" w:color="auto" w:fill="FFFFFF"/>
              </w:rPr>
              <w:t>archaeologist</w:t>
            </w:r>
            <w:r w:rsidRPr="009D3C70">
              <w:rPr>
                <w:color w:val="222222"/>
                <w:shd w:val="clear" w:color="auto" w:fill="FFFFFF"/>
              </w:rPr>
              <w:t> and retired professor of </w:t>
            </w:r>
            <w:r w:rsidR="00B1350E" w:rsidRPr="00B1350E">
              <w:rPr>
                <w:shd w:val="clear" w:color="auto" w:fill="FFFFFF"/>
              </w:rPr>
              <w:t>art</w:t>
            </w:r>
            <w:r w:rsidRPr="009D3C70">
              <w:rPr>
                <w:color w:val="222222"/>
                <w:shd w:val="clear" w:color="auto" w:fill="FFFFFF"/>
              </w:rPr>
              <w:t> and archaeology of the </w:t>
            </w:r>
            <w:r w:rsidR="00B1350E" w:rsidRPr="00B1350E">
              <w:rPr>
                <w:shd w:val="clear" w:color="auto" w:fill="FFFFFF"/>
              </w:rPr>
              <w:t>ancient Near East</w:t>
            </w:r>
            <w:r w:rsidRPr="009D3C70">
              <w:rPr>
                <w:color w:val="222222"/>
                <w:shd w:val="clear" w:color="auto" w:fill="FFFFFF"/>
              </w:rPr>
              <w:t>. She spent much of her professional career as a professor at the </w:t>
            </w:r>
            <w:r w:rsidR="00B1350E" w:rsidRPr="00B1350E">
              <w:rPr>
                <w:shd w:val="clear" w:color="auto" w:fill="FFFFFF"/>
              </w:rPr>
              <w:t>University of Texas</w:t>
            </w:r>
            <w:r w:rsidRPr="009D3C70">
              <w:t xml:space="preserve">. Denise </w:t>
            </w:r>
            <w:r w:rsidRPr="009D3C70">
              <w:rPr>
                <w:color w:val="222222"/>
                <w:shd w:val="clear" w:color="auto" w:fill="FFFFFF"/>
              </w:rPr>
              <w:t>has been widely reported in the public media and television, such as Discovery, ABC, etc. She</w:t>
            </w:r>
            <w:r w:rsidRPr="009D3C70">
              <w:t xml:space="preserve"> will speak about the history of writing and </w:t>
            </w:r>
            <w:r w:rsidRPr="009D3C70">
              <w:rPr>
                <w:color w:val="000000"/>
              </w:rPr>
              <w:t>no</w:t>
            </w:r>
            <w:r w:rsidR="00B1350E">
              <w:rPr>
                <w:color w:val="000000"/>
              </w:rPr>
              <w:t>t</w:t>
            </w:r>
            <w:r w:rsidRPr="009D3C70">
              <w:rPr>
                <w:color w:val="000000"/>
              </w:rPr>
              <w:t xml:space="preserve">es that accounting was a precursor to writing. Denise has published several books and articles on the subject. </w:t>
            </w:r>
          </w:p>
          <w:p w:rsidR="00AA5D8A" w:rsidRDefault="00AA5D8A" w:rsidP="00864CFB">
            <w:pPr>
              <w:shd w:val="clear" w:color="auto" w:fill="FFFFFF"/>
              <w:rPr>
                <w:rFonts w:ascii="Arial" w:hAnsi="Arial" w:cs="Arial"/>
                <w:b/>
                <w:bCs/>
                <w:iCs/>
                <w:color w:val="1F497D"/>
                <w:sz w:val="22"/>
                <w:szCs w:val="22"/>
              </w:rPr>
            </w:pPr>
          </w:p>
          <w:p w:rsidR="00864CFB" w:rsidRPr="00864CFB" w:rsidRDefault="005C58A0" w:rsidP="00864CFB">
            <w:pPr>
              <w:shd w:val="clear" w:color="auto" w:fill="FFFFFF"/>
              <w:rPr>
                <w:rFonts w:ascii="Arial" w:hAnsi="Arial" w:cs="Arial"/>
                <w:b/>
                <w:bCs/>
                <w:iCs/>
                <w:color w:val="1F497D"/>
                <w:sz w:val="22"/>
                <w:szCs w:val="22"/>
              </w:rPr>
            </w:pPr>
            <w:r w:rsidRPr="005C58A0">
              <w:rPr>
                <w:rFonts w:ascii="Arial" w:hAnsi="Arial" w:cs="Arial"/>
                <w:b/>
                <w:bCs/>
                <w:iCs/>
                <w:color w:val="1F497D"/>
                <w:sz w:val="22"/>
                <w:szCs w:val="22"/>
              </w:rPr>
              <w:t>Additionally, we look forward to a variety of presentations from you, our members</w:t>
            </w:r>
            <w:r w:rsidR="00864CFB">
              <w:rPr>
                <w:rFonts w:ascii="Arial" w:hAnsi="Arial" w:cs="Arial"/>
                <w:b/>
                <w:bCs/>
                <w:iCs/>
                <w:color w:val="1F497D"/>
                <w:sz w:val="22"/>
                <w:szCs w:val="22"/>
              </w:rPr>
              <w:t xml:space="preserve">. </w:t>
            </w:r>
            <w:r w:rsidR="009D3C70">
              <w:rPr>
                <w:rFonts w:ascii="Arial" w:hAnsi="Arial" w:cs="Arial"/>
                <w:b/>
                <w:bCs/>
                <w:iCs/>
                <w:color w:val="1F497D"/>
                <w:sz w:val="22"/>
                <w:szCs w:val="22"/>
              </w:rPr>
              <w:t>Please check your email for “</w:t>
            </w:r>
            <w:r w:rsidR="00864CFB" w:rsidRPr="00864CFB">
              <w:rPr>
                <w:rFonts w:ascii="Arial" w:hAnsi="Arial" w:cs="Arial"/>
                <w:b/>
                <w:bCs/>
                <w:iCs/>
                <w:color w:val="1F497D"/>
                <w:sz w:val="22"/>
                <w:szCs w:val="22"/>
              </w:rPr>
              <w:t>The call for proposals</w:t>
            </w:r>
            <w:r w:rsidR="009D3C70">
              <w:rPr>
                <w:rFonts w:ascii="Arial" w:hAnsi="Arial" w:cs="Arial"/>
                <w:b/>
                <w:bCs/>
                <w:iCs/>
                <w:color w:val="1F497D"/>
                <w:sz w:val="22"/>
                <w:szCs w:val="22"/>
              </w:rPr>
              <w:t xml:space="preserve">” in early October. </w:t>
            </w:r>
            <w:r w:rsidR="00864CFB" w:rsidRPr="00864CFB">
              <w:rPr>
                <w:rFonts w:ascii="Arial" w:hAnsi="Arial" w:cs="Arial"/>
                <w:b/>
                <w:bCs/>
                <w:iCs/>
                <w:color w:val="1F497D"/>
                <w:sz w:val="22"/>
                <w:szCs w:val="22"/>
              </w:rPr>
              <w:t xml:space="preserve">  </w:t>
            </w:r>
            <w:r w:rsidR="009D3C70">
              <w:rPr>
                <w:rFonts w:ascii="Arial" w:hAnsi="Arial" w:cs="Arial"/>
                <w:b/>
                <w:bCs/>
                <w:iCs/>
                <w:color w:val="1F497D"/>
                <w:sz w:val="22"/>
                <w:szCs w:val="22"/>
              </w:rPr>
              <w:t>I</w:t>
            </w:r>
            <w:r w:rsidR="00864CFB" w:rsidRPr="00864CFB">
              <w:rPr>
                <w:rFonts w:ascii="Arial" w:hAnsi="Arial" w:cs="Arial"/>
                <w:b/>
                <w:bCs/>
                <w:iCs/>
                <w:color w:val="1F497D"/>
                <w:sz w:val="22"/>
                <w:szCs w:val="22"/>
              </w:rPr>
              <w:t xml:space="preserve">t is not too early to think about a presentation topic. We hope to receive a wide range of proposal topics that will be of interest to our diverse membership. </w:t>
            </w:r>
          </w:p>
          <w:p w:rsidR="005C58A0" w:rsidRPr="00864CFB" w:rsidRDefault="005C58A0" w:rsidP="005C58A0">
            <w:pPr>
              <w:shd w:val="clear" w:color="auto" w:fill="FFFFFF"/>
              <w:rPr>
                <w:rFonts w:ascii="Arial" w:hAnsi="Arial" w:cs="Arial"/>
                <w:b/>
                <w:bCs/>
                <w:iCs/>
                <w:color w:val="1F497D"/>
                <w:sz w:val="22"/>
                <w:szCs w:val="22"/>
              </w:rPr>
            </w:pPr>
          </w:p>
          <w:p w:rsidR="00864CFB" w:rsidRDefault="00864CFB" w:rsidP="00864CFB">
            <w:pPr>
              <w:rPr>
                <w:rFonts w:ascii="Times New Roman" w:hAnsi="Times New Roman"/>
                <w:szCs w:val="18"/>
              </w:rPr>
            </w:pPr>
            <w:r w:rsidRPr="00864CFB">
              <w:rPr>
                <w:sz w:val="36"/>
                <w:szCs w:val="36"/>
              </w:rPr>
              <w:t>201</w:t>
            </w:r>
            <w:r w:rsidR="006B50D1">
              <w:rPr>
                <w:sz w:val="36"/>
                <w:szCs w:val="36"/>
              </w:rPr>
              <w:t>7</w:t>
            </w:r>
            <w:r w:rsidRPr="00864CFB">
              <w:rPr>
                <w:sz w:val="36"/>
                <w:szCs w:val="36"/>
              </w:rPr>
              <w:t xml:space="preserve"> Sponsors Highlights</w:t>
            </w:r>
          </w:p>
          <w:p w:rsidR="00496FEB" w:rsidRDefault="00496FEB" w:rsidP="00864CFB">
            <w:pPr>
              <w:rPr>
                <w:rFonts w:ascii="Times New Roman" w:hAnsi="Times New Roman"/>
                <w:szCs w:val="18"/>
              </w:rPr>
            </w:pPr>
          </w:p>
          <w:tbl>
            <w:tblPr>
              <w:tblStyle w:val="TableGrid"/>
              <w:tblW w:w="10512" w:type="dxa"/>
              <w:tblLayout w:type="fixed"/>
              <w:tblLook w:val="04A0" w:firstRow="1" w:lastRow="0" w:firstColumn="1" w:lastColumn="0" w:noHBand="0" w:noVBand="1"/>
            </w:tblPr>
            <w:tblGrid>
              <w:gridCol w:w="4416"/>
              <w:gridCol w:w="6096"/>
            </w:tblGrid>
            <w:tr w:rsidR="00A129DA" w:rsidTr="00787699">
              <w:trPr>
                <w:trHeight w:val="1627"/>
              </w:trPr>
              <w:tc>
                <w:tcPr>
                  <w:tcW w:w="4416" w:type="dxa"/>
                </w:tcPr>
                <w:p w:rsidR="00A129DA" w:rsidRDefault="00A129DA" w:rsidP="00864CFB">
                  <w:pPr>
                    <w:rPr>
                      <w:rFonts w:ascii="Times New Roman" w:hAnsi="Times New Roman"/>
                      <w:szCs w:val="18"/>
                    </w:rPr>
                  </w:pPr>
                  <w:r>
                    <w:rPr>
                      <w:rFonts w:ascii="Arial" w:hAnsi="Arial" w:cs="Arial"/>
                      <w:noProof/>
                      <w:sz w:val="52"/>
                      <w:szCs w:val="52"/>
                    </w:rPr>
                    <w:drawing>
                      <wp:inline distT="0" distB="0" distL="0" distR="0" wp14:anchorId="59BF4322" wp14:editId="197F4B24">
                        <wp:extent cx="2690167" cy="733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orgia Society of CP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6131" cy="737777"/>
                                </a:xfrm>
                                <a:prstGeom prst="rect">
                                  <a:avLst/>
                                </a:prstGeom>
                              </pic:spPr>
                            </pic:pic>
                          </a:graphicData>
                        </a:graphic>
                      </wp:inline>
                    </w:drawing>
                  </w:r>
                </w:p>
              </w:tc>
              <w:tc>
                <w:tcPr>
                  <w:tcW w:w="6096" w:type="dxa"/>
                </w:tcPr>
                <w:p w:rsidR="00A129DA" w:rsidRDefault="009737AB" w:rsidP="00864CFB">
                  <w:pPr>
                    <w:rPr>
                      <w:rFonts w:ascii="Times New Roman" w:hAnsi="Times New Roman"/>
                      <w:szCs w:val="18"/>
                    </w:rPr>
                  </w:pPr>
                  <w:r>
                    <w:rPr>
                      <w:rFonts w:ascii="Arial" w:hAnsi="Arial" w:cs="Arial"/>
                      <w:noProof/>
                      <w:sz w:val="52"/>
                      <w:szCs w:val="52"/>
                    </w:rPr>
                    <w:drawing>
                      <wp:inline distT="0" distB="0" distL="0" distR="0" wp14:anchorId="43726B1C" wp14:editId="1783F282">
                        <wp:extent cx="1885950" cy="1019944"/>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uFound_GreenGold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1468" cy="1055377"/>
                                </a:xfrm>
                                <a:prstGeom prst="rect">
                                  <a:avLst/>
                                </a:prstGeom>
                              </pic:spPr>
                            </pic:pic>
                          </a:graphicData>
                        </a:graphic>
                      </wp:inline>
                    </w:drawing>
                  </w:r>
                </w:p>
              </w:tc>
            </w:tr>
          </w:tbl>
          <w:p w:rsidR="00496FEB" w:rsidRDefault="00496FEB" w:rsidP="00864CFB">
            <w:pPr>
              <w:rPr>
                <w:rFonts w:ascii="Times New Roman" w:hAnsi="Times New Roman"/>
                <w:szCs w:val="18"/>
              </w:rPr>
            </w:pPr>
          </w:p>
          <w:p w:rsidR="00496FEB" w:rsidRDefault="00496FEB" w:rsidP="00864CFB">
            <w:pPr>
              <w:rPr>
                <w:rFonts w:ascii="Times New Roman" w:hAnsi="Times New Roman"/>
                <w:szCs w:val="18"/>
              </w:rPr>
            </w:pPr>
          </w:p>
          <w:p w:rsidR="009737AB" w:rsidRPr="00787699" w:rsidRDefault="009737AB" w:rsidP="009737AB">
            <w:pPr>
              <w:shd w:val="clear" w:color="auto" w:fill="FFFFFF"/>
              <w:rPr>
                <w:rFonts w:ascii="Arial" w:hAnsi="Arial" w:cs="Arial"/>
                <w:bCs/>
                <w:i/>
                <w:iCs/>
                <w:color w:val="1F497D"/>
                <w:sz w:val="22"/>
                <w:szCs w:val="22"/>
              </w:rPr>
            </w:pPr>
            <w:r w:rsidRPr="00787699">
              <w:rPr>
                <w:rFonts w:ascii="Arial" w:hAnsi="Arial" w:cs="Arial"/>
                <w:sz w:val="22"/>
                <w:szCs w:val="22"/>
              </w:rPr>
              <w:lastRenderedPageBreak/>
              <w:t xml:space="preserve">The Educational Foundation of The Georgia Society of </w:t>
            </w:r>
            <w:r w:rsidR="00787699" w:rsidRPr="00787699">
              <w:rPr>
                <w:rFonts w:ascii="Arial" w:hAnsi="Arial" w:cs="Arial"/>
                <w:sz w:val="22"/>
                <w:szCs w:val="22"/>
              </w:rPr>
              <w:t>CPAs</w:t>
            </w:r>
            <w:r w:rsidRPr="00787699">
              <w:rPr>
                <w:rFonts w:ascii="Arial" w:hAnsi="Arial" w:cs="Arial"/>
                <w:sz w:val="22"/>
                <w:szCs w:val="22"/>
              </w:rPr>
              <w:t xml:space="preserve"> </w:t>
            </w:r>
            <w:r w:rsidR="00787699">
              <w:rPr>
                <w:rFonts w:ascii="Arial" w:hAnsi="Arial" w:cs="Arial"/>
                <w:sz w:val="22"/>
                <w:szCs w:val="22"/>
              </w:rPr>
              <w:t xml:space="preserve">and </w:t>
            </w:r>
            <w:r w:rsidRPr="00787699">
              <w:rPr>
                <w:rFonts w:ascii="Arial" w:hAnsi="Arial" w:cs="Arial"/>
                <w:sz w:val="22"/>
                <w:szCs w:val="22"/>
              </w:rPr>
              <w:t>The Georgia Society of CPAs are dedicated partners of GAAE. Our organization would not be able to continue operations without their generous support.</w:t>
            </w:r>
          </w:p>
          <w:p w:rsidR="009737AB" w:rsidRPr="00787699" w:rsidRDefault="009737AB" w:rsidP="009737AB">
            <w:pPr>
              <w:shd w:val="clear" w:color="auto" w:fill="FFFFFF"/>
              <w:jc w:val="center"/>
              <w:rPr>
                <w:rFonts w:ascii="Arial" w:hAnsi="Arial" w:cs="Arial"/>
                <w:bCs/>
                <w:i/>
                <w:iCs/>
                <w:color w:val="1F497D"/>
                <w:sz w:val="22"/>
                <w:szCs w:val="22"/>
              </w:rPr>
            </w:pPr>
          </w:p>
          <w:p w:rsidR="009737AB" w:rsidRPr="00787699" w:rsidRDefault="009737AB" w:rsidP="009737AB">
            <w:pPr>
              <w:shd w:val="clear" w:color="auto" w:fill="FFFFFF"/>
              <w:rPr>
                <w:rFonts w:ascii="Arial" w:hAnsi="Arial" w:cs="Arial"/>
                <w:bCs/>
                <w:i/>
                <w:iCs/>
                <w:sz w:val="22"/>
                <w:szCs w:val="22"/>
              </w:rPr>
            </w:pPr>
            <w:r w:rsidRPr="00787699">
              <w:rPr>
                <w:rFonts w:ascii="Arial" w:hAnsi="Arial" w:cs="Arial"/>
                <w:bCs/>
                <w:i/>
                <w:iCs/>
                <w:sz w:val="22"/>
                <w:szCs w:val="22"/>
              </w:rPr>
              <w:t>The Educational Foundation of the Georgia Society of CPAs provides:</w:t>
            </w:r>
          </w:p>
          <w:p w:rsidR="009737AB" w:rsidRPr="00787699" w:rsidRDefault="009737AB" w:rsidP="009737AB">
            <w:pPr>
              <w:pStyle w:val="ListParagraph"/>
              <w:numPr>
                <w:ilvl w:val="0"/>
                <w:numId w:val="26"/>
              </w:numPr>
              <w:shd w:val="clear" w:color="auto" w:fill="FFFFFF"/>
              <w:spacing w:after="0" w:line="240" w:lineRule="auto"/>
              <w:rPr>
                <w:rFonts w:ascii="Arial" w:eastAsia="Times New Roman" w:hAnsi="Arial" w:cs="Arial"/>
                <w:bCs/>
                <w:i/>
                <w:iCs/>
              </w:rPr>
            </w:pPr>
            <w:r w:rsidRPr="00787699">
              <w:rPr>
                <w:rFonts w:ascii="Arial" w:eastAsia="Times New Roman" w:hAnsi="Arial" w:cs="Arial"/>
                <w:bCs/>
                <w:i/>
                <w:iCs/>
              </w:rPr>
              <w:t>Keynote Sponsorship funding of the Annual Conference</w:t>
            </w:r>
          </w:p>
          <w:p w:rsidR="009737AB" w:rsidRPr="00787699" w:rsidRDefault="009737AB" w:rsidP="009737AB">
            <w:pPr>
              <w:pStyle w:val="ListParagraph"/>
              <w:numPr>
                <w:ilvl w:val="0"/>
                <w:numId w:val="26"/>
              </w:numPr>
              <w:shd w:val="clear" w:color="auto" w:fill="FFFFFF"/>
              <w:spacing w:after="0" w:line="240" w:lineRule="auto"/>
              <w:rPr>
                <w:rFonts w:ascii="Arial" w:eastAsia="Times New Roman" w:hAnsi="Arial" w:cs="Arial"/>
                <w:bCs/>
                <w:i/>
                <w:iCs/>
              </w:rPr>
            </w:pPr>
            <w:r w:rsidRPr="00787699">
              <w:rPr>
                <w:rFonts w:ascii="Arial" w:eastAsia="Times New Roman" w:hAnsi="Arial" w:cs="Arial"/>
                <w:bCs/>
                <w:i/>
                <w:iCs/>
              </w:rPr>
              <w:t>Speakers for the annual conference</w:t>
            </w:r>
          </w:p>
          <w:p w:rsidR="009737AB" w:rsidRPr="00787699" w:rsidRDefault="009737AB" w:rsidP="009737AB">
            <w:pPr>
              <w:pStyle w:val="ListParagraph"/>
              <w:numPr>
                <w:ilvl w:val="0"/>
                <w:numId w:val="26"/>
              </w:numPr>
              <w:shd w:val="clear" w:color="auto" w:fill="FFFFFF"/>
              <w:spacing w:after="0" w:line="240" w:lineRule="auto"/>
              <w:rPr>
                <w:rFonts w:ascii="Arial" w:eastAsia="Times New Roman" w:hAnsi="Arial" w:cs="Arial"/>
                <w:bCs/>
                <w:i/>
                <w:iCs/>
              </w:rPr>
            </w:pPr>
            <w:r w:rsidRPr="00787699">
              <w:rPr>
                <w:rFonts w:ascii="Arial" w:eastAsia="Times New Roman" w:hAnsi="Arial" w:cs="Arial"/>
                <w:bCs/>
                <w:i/>
                <w:iCs/>
              </w:rPr>
              <w:t xml:space="preserve">Student scholarships - In 2016 over $ 92,000 were awarded to 35 students. </w:t>
            </w:r>
          </w:p>
          <w:p w:rsidR="009737AB" w:rsidRPr="00787699" w:rsidRDefault="009737AB" w:rsidP="009737AB">
            <w:pPr>
              <w:pStyle w:val="ListParagraph"/>
              <w:numPr>
                <w:ilvl w:val="0"/>
                <w:numId w:val="26"/>
              </w:numPr>
              <w:shd w:val="clear" w:color="auto" w:fill="FFFFFF"/>
              <w:spacing w:after="0" w:line="240" w:lineRule="auto"/>
              <w:rPr>
                <w:rFonts w:ascii="Arial" w:eastAsia="Times New Roman" w:hAnsi="Arial" w:cs="Arial"/>
                <w:bCs/>
                <w:i/>
                <w:iCs/>
              </w:rPr>
            </w:pPr>
            <w:r w:rsidRPr="00787699">
              <w:rPr>
                <w:rFonts w:ascii="Arial" w:eastAsia="Times New Roman" w:hAnsi="Arial" w:cs="Arial"/>
                <w:bCs/>
                <w:i/>
                <w:iCs/>
              </w:rPr>
              <w:t>Funding for programs to increase awareness of the accounting profession on college campuses.</w:t>
            </w:r>
          </w:p>
          <w:p w:rsidR="009737AB" w:rsidRPr="00787699" w:rsidRDefault="009737AB" w:rsidP="009737AB">
            <w:pPr>
              <w:pStyle w:val="ListParagraph"/>
              <w:numPr>
                <w:ilvl w:val="0"/>
                <w:numId w:val="26"/>
              </w:numPr>
              <w:shd w:val="clear" w:color="auto" w:fill="FFFFFF"/>
              <w:spacing w:after="0" w:line="240" w:lineRule="auto"/>
              <w:rPr>
                <w:rFonts w:ascii="Arial" w:eastAsia="Times New Roman" w:hAnsi="Arial" w:cs="Arial"/>
                <w:bCs/>
                <w:i/>
                <w:iCs/>
              </w:rPr>
            </w:pPr>
            <w:r w:rsidRPr="00787699">
              <w:rPr>
                <w:rFonts w:ascii="Arial" w:eastAsia="Times New Roman" w:hAnsi="Arial" w:cs="Arial"/>
                <w:bCs/>
                <w:i/>
                <w:iCs/>
              </w:rPr>
              <w:t>Recognition of outstanding accounting educators through the “Outstanding Educator Award.”</w:t>
            </w:r>
          </w:p>
          <w:p w:rsidR="009737AB" w:rsidRPr="00787699" w:rsidRDefault="009737AB" w:rsidP="009737AB">
            <w:pPr>
              <w:shd w:val="clear" w:color="auto" w:fill="FFFFFF"/>
              <w:ind w:left="360"/>
              <w:rPr>
                <w:rFonts w:ascii="Arial" w:hAnsi="Arial" w:cs="Arial"/>
                <w:bCs/>
                <w:i/>
                <w:iCs/>
                <w:sz w:val="22"/>
                <w:szCs w:val="22"/>
              </w:rPr>
            </w:pPr>
          </w:p>
          <w:p w:rsidR="009737AB" w:rsidRPr="00787699" w:rsidRDefault="009737AB" w:rsidP="009737AB">
            <w:pPr>
              <w:shd w:val="clear" w:color="auto" w:fill="FFFFFF"/>
              <w:rPr>
                <w:rFonts w:ascii="Arial" w:hAnsi="Arial" w:cs="Arial"/>
                <w:bCs/>
                <w:i/>
                <w:iCs/>
                <w:sz w:val="22"/>
                <w:szCs w:val="22"/>
              </w:rPr>
            </w:pPr>
            <w:r w:rsidRPr="00787699">
              <w:rPr>
                <w:rFonts w:ascii="Arial" w:hAnsi="Arial" w:cs="Arial"/>
                <w:bCs/>
                <w:i/>
                <w:iCs/>
                <w:sz w:val="22"/>
                <w:szCs w:val="22"/>
              </w:rPr>
              <w:t>The Georgia Society of CPAs provides:</w:t>
            </w:r>
          </w:p>
          <w:p w:rsidR="009737AB" w:rsidRPr="00787699" w:rsidRDefault="009737AB" w:rsidP="009737AB">
            <w:pPr>
              <w:pStyle w:val="ListParagraph"/>
              <w:numPr>
                <w:ilvl w:val="0"/>
                <w:numId w:val="27"/>
              </w:numPr>
              <w:shd w:val="clear" w:color="auto" w:fill="FFFFFF"/>
              <w:spacing w:after="0" w:line="240" w:lineRule="auto"/>
              <w:rPr>
                <w:rFonts w:ascii="Arial" w:eastAsia="Times New Roman" w:hAnsi="Arial" w:cs="Arial"/>
                <w:bCs/>
                <w:i/>
                <w:iCs/>
              </w:rPr>
            </w:pPr>
            <w:r w:rsidRPr="00787699">
              <w:rPr>
                <w:rFonts w:ascii="Arial" w:eastAsia="Times New Roman" w:hAnsi="Arial" w:cs="Arial"/>
                <w:bCs/>
                <w:i/>
                <w:iCs/>
              </w:rPr>
              <w:t>Sponsorship and hosting of GAAE’s website</w:t>
            </w:r>
          </w:p>
          <w:p w:rsidR="009737AB" w:rsidRPr="00787699" w:rsidRDefault="009737AB" w:rsidP="009737AB">
            <w:pPr>
              <w:pStyle w:val="ListParagraph"/>
              <w:numPr>
                <w:ilvl w:val="0"/>
                <w:numId w:val="27"/>
              </w:numPr>
              <w:shd w:val="clear" w:color="auto" w:fill="FFFFFF"/>
              <w:spacing w:after="0" w:line="240" w:lineRule="auto"/>
              <w:rPr>
                <w:rFonts w:ascii="Arial" w:eastAsia="Times New Roman" w:hAnsi="Arial" w:cs="Arial"/>
                <w:bCs/>
                <w:i/>
                <w:iCs/>
              </w:rPr>
            </w:pPr>
            <w:r w:rsidRPr="00787699">
              <w:rPr>
                <w:rFonts w:ascii="Arial" w:eastAsia="Times New Roman" w:hAnsi="Arial" w:cs="Arial"/>
                <w:bCs/>
                <w:i/>
                <w:iCs/>
              </w:rPr>
              <w:t>Significant staff support for related programming</w:t>
            </w:r>
          </w:p>
          <w:p w:rsidR="009737AB" w:rsidRPr="00787699" w:rsidRDefault="009737AB" w:rsidP="009737AB">
            <w:pPr>
              <w:pStyle w:val="ListParagraph"/>
              <w:numPr>
                <w:ilvl w:val="0"/>
                <w:numId w:val="27"/>
              </w:numPr>
              <w:shd w:val="clear" w:color="auto" w:fill="FFFFFF"/>
              <w:spacing w:after="0" w:line="240" w:lineRule="auto"/>
              <w:rPr>
                <w:rFonts w:ascii="Arial" w:eastAsia="Times New Roman" w:hAnsi="Arial" w:cs="Arial"/>
                <w:bCs/>
                <w:i/>
                <w:iCs/>
              </w:rPr>
            </w:pPr>
            <w:r w:rsidRPr="00787699">
              <w:rPr>
                <w:rFonts w:ascii="Arial" w:eastAsia="Times New Roman" w:hAnsi="Arial" w:cs="Arial"/>
                <w:bCs/>
                <w:i/>
                <w:iCs/>
              </w:rPr>
              <w:t>Registration and other Administrative support</w:t>
            </w:r>
          </w:p>
          <w:p w:rsidR="009737AB" w:rsidRPr="00787699" w:rsidRDefault="009737AB" w:rsidP="009737AB">
            <w:pPr>
              <w:pStyle w:val="ListParagraph"/>
              <w:numPr>
                <w:ilvl w:val="0"/>
                <w:numId w:val="27"/>
              </w:numPr>
              <w:shd w:val="clear" w:color="auto" w:fill="FFFFFF"/>
              <w:spacing w:after="0" w:line="240" w:lineRule="auto"/>
              <w:rPr>
                <w:rFonts w:ascii="Arial" w:eastAsia="Times New Roman" w:hAnsi="Arial" w:cs="Arial"/>
                <w:bCs/>
                <w:i/>
                <w:iCs/>
              </w:rPr>
            </w:pPr>
            <w:r w:rsidRPr="00787699">
              <w:rPr>
                <w:rFonts w:ascii="Arial" w:eastAsia="Times New Roman" w:hAnsi="Arial" w:cs="Arial"/>
                <w:bCs/>
                <w:i/>
                <w:iCs/>
              </w:rPr>
              <w:t>Reduced membership fees for educators and students</w:t>
            </w:r>
          </w:p>
          <w:p w:rsidR="009737AB" w:rsidRPr="00787699" w:rsidRDefault="009737AB" w:rsidP="009737AB">
            <w:pPr>
              <w:shd w:val="clear" w:color="auto" w:fill="FFFFFF"/>
              <w:rPr>
                <w:rFonts w:ascii="Arial" w:hAnsi="Arial" w:cs="Arial"/>
                <w:bCs/>
                <w:i/>
                <w:iCs/>
                <w:color w:val="1F497D"/>
                <w:sz w:val="22"/>
                <w:szCs w:val="22"/>
              </w:rPr>
            </w:pPr>
          </w:p>
          <w:p w:rsidR="009737AB" w:rsidRPr="00787699" w:rsidRDefault="009737AB" w:rsidP="009737AB">
            <w:pPr>
              <w:rPr>
                <w:rFonts w:ascii="Arial" w:hAnsi="Arial" w:cs="Arial"/>
                <w:sz w:val="22"/>
                <w:szCs w:val="22"/>
              </w:rPr>
            </w:pPr>
            <w:r w:rsidRPr="00787699">
              <w:rPr>
                <w:rFonts w:ascii="Arial" w:hAnsi="Arial" w:cs="Arial"/>
                <w:sz w:val="22"/>
                <w:szCs w:val="22"/>
              </w:rPr>
              <w:t>To learn more about the mission of The Educational Foundation and the wide variety of programs it offers to accounting students and faculty, please visit foundation.gscpa.org.</w:t>
            </w:r>
          </w:p>
          <w:p w:rsidR="009737AB" w:rsidRPr="00787699" w:rsidRDefault="009737AB" w:rsidP="009737AB">
            <w:pPr>
              <w:rPr>
                <w:rFonts w:ascii="Arial" w:hAnsi="Arial" w:cs="Arial"/>
                <w:sz w:val="22"/>
                <w:szCs w:val="22"/>
              </w:rPr>
            </w:pPr>
          </w:p>
          <w:p w:rsidR="009737AB" w:rsidRPr="00787699" w:rsidRDefault="009737AB" w:rsidP="009737AB">
            <w:pPr>
              <w:rPr>
                <w:rFonts w:ascii="Arial" w:hAnsi="Arial" w:cs="Arial"/>
                <w:sz w:val="22"/>
                <w:szCs w:val="22"/>
              </w:rPr>
            </w:pPr>
            <w:r w:rsidRPr="00787699">
              <w:rPr>
                <w:rFonts w:ascii="Arial" w:hAnsi="Arial" w:cs="Arial"/>
                <w:sz w:val="22"/>
                <w:szCs w:val="22"/>
              </w:rPr>
              <w:t>To learn more about The Georgia Society and how it works to promote and protect the accounting profession in Georgia, please visit www.gscpa.org.</w:t>
            </w:r>
          </w:p>
          <w:p w:rsidR="009737AB" w:rsidRPr="00787699" w:rsidRDefault="009737AB" w:rsidP="009737AB">
            <w:pPr>
              <w:rPr>
                <w:rFonts w:ascii="Arial" w:hAnsi="Arial" w:cs="Arial"/>
                <w:sz w:val="22"/>
                <w:szCs w:val="22"/>
              </w:rPr>
            </w:pPr>
          </w:p>
          <w:p w:rsidR="009737AB" w:rsidRPr="00787699" w:rsidRDefault="009737AB" w:rsidP="009737AB">
            <w:pPr>
              <w:rPr>
                <w:rFonts w:ascii="Arial" w:hAnsi="Arial" w:cs="Arial"/>
                <w:sz w:val="22"/>
                <w:szCs w:val="22"/>
              </w:rPr>
            </w:pPr>
            <w:r w:rsidRPr="00787699">
              <w:rPr>
                <w:rFonts w:ascii="Arial" w:hAnsi="Arial" w:cs="Arial"/>
                <w:sz w:val="22"/>
                <w:szCs w:val="22"/>
              </w:rPr>
              <w:t xml:space="preserve">If you have any questions or need further information, please don’t hesitate to email </w:t>
            </w:r>
            <w:r w:rsidR="0032042F">
              <w:rPr>
                <w:color w:val="212121"/>
                <w:shd w:val="clear" w:color="auto" w:fill="FFFFFF"/>
              </w:rPr>
              <w:t>Callie Hammond</w:t>
            </w:r>
            <w:r w:rsidRPr="00787699">
              <w:rPr>
                <w:rFonts w:ascii="Arial" w:hAnsi="Arial" w:cs="Arial"/>
                <w:sz w:val="22"/>
                <w:szCs w:val="22"/>
              </w:rPr>
              <w:t>, manager, foundation &amp; student</w:t>
            </w:r>
            <w:r>
              <w:rPr>
                <w:rFonts w:ascii="Arial" w:hAnsi="Arial" w:cs="Arial"/>
                <w:sz w:val="24"/>
              </w:rPr>
              <w:t xml:space="preserve"> </w:t>
            </w:r>
            <w:r w:rsidRPr="00787699">
              <w:rPr>
                <w:rFonts w:ascii="Arial" w:hAnsi="Arial" w:cs="Arial"/>
                <w:sz w:val="22"/>
                <w:szCs w:val="22"/>
              </w:rPr>
              <w:t xml:space="preserve">initiatives for GSCPA </w:t>
            </w:r>
            <w:r>
              <w:rPr>
                <w:rFonts w:ascii="Arial" w:hAnsi="Arial" w:cs="Arial"/>
                <w:sz w:val="22"/>
                <w:szCs w:val="22"/>
              </w:rPr>
              <w:t xml:space="preserve">at </w:t>
            </w:r>
            <w:r w:rsidR="0032042F">
              <w:rPr>
                <w:color w:val="212121"/>
                <w:shd w:val="clear" w:color="auto" w:fill="FFFFFF"/>
              </w:rPr>
              <w:t>[chammond@gscpa.org]</w:t>
            </w:r>
            <w:hyperlink r:id="rId11" w:history="1">
              <w:r w:rsidR="0032042F" w:rsidRPr="009F4165">
                <w:rPr>
                  <w:rStyle w:val="Hyperlink"/>
                  <w:shd w:val="clear" w:color="auto" w:fill="FFFFFF"/>
                </w:rPr>
                <w:t>chammond@gscpa.org</w:t>
              </w:r>
            </w:hyperlink>
            <w:r w:rsidR="0032042F">
              <w:rPr>
                <w:color w:val="212121"/>
                <w:shd w:val="clear" w:color="auto" w:fill="FFFFFF"/>
              </w:rPr>
              <w:t xml:space="preserve"> </w:t>
            </w:r>
            <w:r w:rsidRPr="00787699">
              <w:rPr>
                <w:rFonts w:ascii="Arial" w:hAnsi="Arial" w:cs="Arial"/>
                <w:sz w:val="22"/>
                <w:szCs w:val="22"/>
              </w:rPr>
              <w:t xml:space="preserve">or by calling 800-330-8889, extension 2956. </w:t>
            </w:r>
          </w:p>
          <w:p w:rsidR="009737AB" w:rsidRDefault="009737AB" w:rsidP="009737AB">
            <w:pPr>
              <w:shd w:val="clear" w:color="auto" w:fill="FFFFFF"/>
              <w:rPr>
                <w:rFonts w:ascii="Calibri" w:hAnsi="Calibri" w:cs="Arial"/>
                <w:bCs/>
                <w:i/>
                <w:iCs/>
                <w:color w:val="1F497D"/>
                <w:sz w:val="24"/>
              </w:rPr>
            </w:pPr>
            <w:bookmarkStart w:id="0" w:name="_GoBack"/>
            <w:bookmarkEnd w:id="0"/>
          </w:p>
          <w:p w:rsidR="00496FEB" w:rsidRPr="00864CFB" w:rsidRDefault="00496FEB" w:rsidP="00864CFB">
            <w:pPr>
              <w:rPr>
                <w:rFonts w:ascii="Times New Roman" w:hAnsi="Times New Roman"/>
                <w:szCs w:val="18"/>
              </w:rPr>
            </w:pPr>
          </w:p>
          <w:p w:rsidR="00497E92" w:rsidRPr="006F03FC" w:rsidRDefault="00864CFB" w:rsidP="006F03FC">
            <w:pPr>
              <w:shd w:val="clear" w:color="auto" w:fill="FFFFFF"/>
              <w:jc w:val="center"/>
              <w:rPr>
                <w:rFonts w:ascii="Calibri" w:hAnsi="Calibri" w:cs="Arial"/>
                <w:bCs/>
                <w:i/>
                <w:iCs/>
                <w:color w:val="1F497D"/>
                <w:sz w:val="40"/>
                <w:szCs w:val="40"/>
              </w:rPr>
            </w:pPr>
            <w:r w:rsidRPr="00274092">
              <w:rPr>
                <w:rFonts w:ascii="Calibri" w:hAnsi="Calibri" w:cs="Arial"/>
                <w:bCs/>
                <w:i/>
                <w:iCs/>
                <w:color w:val="1F497D"/>
                <w:sz w:val="40"/>
                <w:szCs w:val="40"/>
              </w:rPr>
              <w:t>Ramsey Solutions</w:t>
            </w:r>
          </w:p>
          <w:p w:rsidR="00864CFB" w:rsidRDefault="00864CFB" w:rsidP="00864CFB">
            <w:pPr>
              <w:shd w:val="clear" w:color="auto" w:fill="FFFFFF"/>
              <w:jc w:val="center"/>
              <w:rPr>
                <w:rFonts w:ascii="Calibri" w:hAnsi="Calibri" w:cs="Arial"/>
                <w:b/>
                <w:bCs/>
                <w:i/>
                <w:iCs/>
                <w:sz w:val="24"/>
              </w:rPr>
            </w:pPr>
            <w:r w:rsidRPr="007049A6">
              <w:rPr>
                <w:noProof/>
              </w:rPr>
              <w:drawing>
                <wp:inline distT="0" distB="0" distL="0" distR="0" wp14:anchorId="6A519747" wp14:editId="57257328">
                  <wp:extent cx="2286000" cy="676275"/>
                  <wp:effectExtent l="0" t="0" r="0" b="9525"/>
                  <wp:docPr id="2" name="Picture 2" descr="C:\Users\whatlema\AppData\Local\Temp\FoundationsCollege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atlema\AppData\Local\Temp\FoundationsCollege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676275"/>
                          </a:xfrm>
                          <a:prstGeom prst="rect">
                            <a:avLst/>
                          </a:prstGeom>
                          <a:noFill/>
                          <a:ln>
                            <a:noFill/>
                          </a:ln>
                        </pic:spPr>
                      </pic:pic>
                    </a:graphicData>
                  </a:graphic>
                </wp:inline>
              </w:drawing>
            </w:r>
          </w:p>
          <w:p w:rsidR="00864CFB" w:rsidRPr="006F03FC" w:rsidRDefault="00864CFB" w:rsidP="006F03FC">
            <w:pPr>
              <w:shd w:val="clear" w:color="auto" w:fill="FFFFFF"/>
              <w:rPr>
                <w:rFonts w:ascii="Arial" w:hAnsi="Arial" w:cs="Arial"/>
                <w:sz w:val="22"/>
                <w:szCs w:val="22"/>
              </w:rPr>
            </w:pPr>
            <w:r w:rsidRPr="006F03FC">
              <w:rPr>
                <w:rFonts w:ascii="Arial" w:hAnsi="Arial" w:cs="Arial"/>
                <w:bCs/>
                <w:iCs/>
                <w:sz w:val="22"/>
                <w:szCs w:val="22"/>
              </w:rPr>
              <w:t>Foundations in Personal Finance</w:t>
            </w:r>
            <w:r w:rsidRPr="006F03FC">
              <w:rPr>
                <w:rFonts w:ascii="Arial" w:hAnsi="Arial" w:cs="Arial"/>
                <w:sz w:val="22"/>
                <w:szCs w:val="22"/>
              </w:rPr>
              <w:t> engages students and teaches them practical, relevant financial skills.  The design is to accommodate the variety of implementation strategies colleges and universities may use to incorporate the curriculum into the classroom.  The program is completely turn-key for educatio</w:t>
            </w:r>
            <w:r w:rsidR="009737AB">
              <w:rPr>
                <w:rFonts w:ascii="Arial" w:hAnsi="Arial" w:cs="Arial"/>
                <w:sz w:val="22"/>
                <w:szCs w:val="22"/>
              </w:rPr>
              <w:t>rs</w:t>
            </w:r>
            <w:r w:rsidRPr="006F03FC">
              <w:rPr>
                <w:rFonts w:ascii="Arial" w:hAnsi="Arial" w:cs="Arial"/>
                <w:sz w:val="22"/>
                <w:szCs w:val="22"/>
              </w:rPr>
              <w:t xml:space="preserve"> through both  print and online delivery options. </w:t>
            </w:r>
          </w:p>
          <w:p w:rsidR="00864CFB" w:rsidRDefault="00864CFB" w:rsidP="006F03FC">
            <w:pPr>
              <w:shd w:val="clear" w:color="auto" w:fill="FFFFFF"/>
              <w:rPr>
                <w:rFonts w:ascii="Arial" w:hAnsi="Arial" w:cs="Arial"/>
                <w:sz w:val="22"/>
                <w:szCs w:val="22"/>
              </w:rPr>
            </w:pPr>
            <w:r w:rsidRPr="006F03FC">
              <w:rPr>
                <w:rFonts w:ascii="Arial" w:hAnsi="Arial" w:cs="Arial"/>
                <w:sz w:val="22"/>
                <w:szCs w:val="22"/>
              </w:rPr>
              <w:t>Our message is different.  We’re not a financial institution, we simply challenge the way they view money and empower them with the education they need to graduate on a solid financial foundation.  These students are our future.  Let’s invest in them.</w:t>
            </w:r>
          </w:p>
          <w:p w:rsidR="00864CFB" w:rsidRPr="007049A6" w:rsidRDefault="00864CFB" w:rsidP="006F03FC">
            <w:pPr>
              <w:shd w:val="clear" w:color="auto" w:fill="FFFFFF"/>
              <w:rPr>
                <w:rFonts w:ascii="Arial" w:hAnsi="Arial" w:cs="Arial"/>
                <w:sz w:val="24"/>
              </w:rPr>
            </w:pPr>
          </w:p>
          <w:p w:rsidR="00864CFB" w:rsidRDefault="00864CFB" w:rsidP="00864CFB">
            <w:pPr>
              <w:jc w:val="center"/>
            </w:pPr>
            <w:r w:rsidRPr="00274092">
              <w:rPr>
                <w:noProof/>
              </w:rPr>
              <w:lastRenderedPageBreak/>
              <w:drawing>
                <wp:inline distT="0" distB="0" distL="0" distR="0" wp14:anchorId="52BFA2BE" wp14:editId="1CD32B5E">
                  <wp:extent cx="1097280" cy="1097280"/>
                  <wp:effectExtent l="0" t="0" r="7620" b="7620"/>
                  <wp:docPr id="7" name="Picture 7" descr="C:\Users\whatlema\Documents\GAAE\Sponsor Information\Sponsor Logos 2106\McGraw H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atlema\Documents\GAAE\Sponsor Information\Sponsor Logos 2106\McGraw Hill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864CFB" w:rsidRDefault="00864CFB" w:rsidP="00864CFB"/>
          <w:p w:rsidR="00864CFB" w:rsidRPr="006F03FC" w:rsidRDefault="00864CFB" w:rsidP="00864CFB">
            <w:pPr>
              <w:rPr>
                <w:rFonts w:ascii="Arial" w:hAnsi="Arial" w:cs="Arial"/>
                <w:sz w:val="22"/>
                <w:szCs w:val="22"/>
              </w:rPr>
            </w:pPr>
            <w:r w:rsidRPr="006F03FC">
              <w:rPr>
                <w:rFonts w:ascii="Arial" w:hAnsi="Arial" w:cs="Arial"/>
                <w:sz w:val="22"/>
                <w:szCs w:val="22"/>
              </w:rPr>
              <w:t>Connect Accounting helps students learn more efficiently by providing feedback and practice material when they need it, where they need it. Connect’s assignable, gradable end-of-chapter content helps students learn to apply the concepts in accounting and, in more comprehensive material, analyze their work to form business decisions. Connect’s robust accounting software allows for flexibility in learning styles and provides opportunities for courses to be delivered in traditional, online, and blended settings.</w:t>
            </w:r>
          </w:p>
          <w:p w:rsidR="00864CFB" w:rsidRDefault="00864CFB" w:rsidP="00864CFB">
            <w:pPr>
              <w:pStyle w:val="Text"/>
              <w:jc w:val="center"/>
            </w:pPr>
          </w:p>
          <w:p w:rsidR="00864CFB" w:rsidRDefault="00864CFB" w:rsidP="00864CFB">
            <w:pPr>
              <w:jc w:val="center"/>
              <w:rPr>
                <w:rFonts w:ascii="Calibri" w:hAnsi="Calibri" w:cs="Arial"/>
                <w:bCs/>
                <w:i/>
                <w:iCs/>
                <w:color w:val="1F497D"/>
                <w:sz w:val="40"/>
                <w:szCs w:val="40"/>
              </w:rPr>
            </w:pPr>
            <w:r>
              <w:rPr>
                <w:noProof/>
              </w:rPr>
              <w:drawing>
                <wp:inline distT="0" distB="0" distL="0" distR="0" wp14:anchorId="6C336E8B" wp14:editId="0C24A995">
                  <wp:extent cx="1847850" cy="1143000"/>
                  <wp:effectExtent l="0" t="0" r="0" b="0"/>
                  <wp:docPr id="8" name="Picture 8" descr="https://gaae.memberclicks.net/assets/media/new_p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ae.memberclicks.net/assets/media/new_pa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143000"/>
                          </a:xfrm>
                          <a:prstGeom prst="rect">
                            <a:avLst/>
                          </a:prstGeom>
                          <a:noFill/>
                          <a:ln>
                            <a:noFill/>
                          </a:ln>
                        </pic:spPr>
                      </pic:pic>
                    </a:graphicData>
                  </a:graphic>
                </wp:inline>
              </w:drawing>
            </w:r>
          </w:p>
          <w:p w:rsidR="00864CFB" w:rsidRPr="006F03FC" w:rsidRDefault="00864CFB" w:rsidP="00864CFB">
            <w:pPr>
              <w:rPr>
                <w:rFonts w:ascii="Arial" w:hAnsi="Arial" w:cs="Arial"/>
                <w:sz w:val="22"/>
                <w:szCs w:val="22"/>
              </w:rPr>
            </w:pPr>
            <w:r w:rsidRPr="006F03FC">
              <w:rPr>
                <w:rFonts w:ascii="Arial" w:hAnsi="Arial" w:cs="Arial"/>
                <w:color w:val="44546A"/>
                <w:sz w:val="22"/>
                <w:szCs w:val="22"/>
              </w:rPr>
              <w:t xml:space="preserve">Cengage Learning is a leading educational content, technology, and services company for the higher education and K-12, professional and library markets worldwide. The company provides superior content, personalized services and course-driven digital solutions that accelerate student engagement and transform the learning experience. Cengage Learning is headquartered in Boston, MA with an office hub located in San Francisco, CA. Cengage Learning employees reside in nearly 40 different countries with company sales in more than 125 countries around the world. For more information, go to: </w:t>
            </w:r>
            <w:hyperlink r:id="rId15" w:tgtFrame="_blank" w:history="1">
              <w:r w:rsidRPr="006F03FC">
                <w:rPr>
                  <w:rFonts w:ascii="Arial" w:hAnsi="Arial" w:cs="Arial"/>
                  <w:color w:val="0000FF"/>
                  <w:sz w:val="22"/>
                  <w:szCs w:val="22"/>
                  <w:u w:val="single"/>
                </w:rPr>
                <w:t>www.cengage.com</w:t>
              </w:r>
            </w:hyperlink>
            <w:r w:rsidRPr="006F03FC">
              <w:rPr>
                <w:rFonts w:ascii="Arial" w:hAnsi="Arial" w:cs="Arial"/>
                <w:color w:val="44546A"/>
                <w:sz w:val="22"/>
                <w:szCs w:val="22"/>
              </w:rPr>
              <w:t>.</w:t>
            </w:r>
          </w:p>
          <w:p w:rsidR="00864CFB" w:rsidRDefault="00864CFB" w:rsidP="00864CFB"/>
          <w:p w:rsidR="00864CFB" w:rsidRDefault="00864CFB" w:rsidP="00864CFB">
            <w:pPr>
              <w:jc w:val="center"/>
            </w:pPr>
            <w:r>
              <w:rPr>
                <w:noProof/>
              </w:rPr>
              <w:drawing>
                <wp:inline distT="0" distB="0" distL="0" distR="0" wp14:anchorId="758A7FEF" wp14:editId="5D5AE69D">
                  <wp:extent cx="1143000" cy="238125"/>
                  <wp:effectExtent l="0" t="0" r="0" b="9525"/>
                  <wp:docPr id="9" name="Picture 9" descr="W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e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238125"/>
                          </a:xfrm>
                          <a:prstGeom prst="rect">
                            <a:avLst/>
                          </a:prstGeom>
                          <a:noFill/>
                          <a:ln>
                            <a:noFill/>
                          </a:ln>
                        </pic:spPr>
                      </pic:pic>
                    </a:graphicData>
                  </a:graphic>
                </wp:inline>
              </w:drawing>
            </w:r>
          </w:p>
          <w:p w:rsidR="00864CFB" w:rsidRPr="007E73D6" w:rsidRDefault="00864CFB" w:rsidP="00864CFB">
            <w:pPr>
              <w:pBdr>
                <w:bottom w:val="single" w:sz="12" w:space="15" w:color="000000"/>
              </w:pBdr>
              <w:shd w:val="clear" w:color="auto" w:fill="FFFFFF"/>
              <w:spacing w:line="510" w:lineRule="atLeast"/>
              <w:ind w:left="300"/>
              <w:jc w:val="center"/>
              <w:outlineLvl w:val="0"/>
              <w:rPr>
                <w:rFonts w:ascii="Arial" w:hAnsi="Arial" w:cs="Arial"/>
                <w:color w:val="000000"/>
                <w:kern w:val="36"/>
                <w:sz w:val="51"/>
                <w:szCs w:val="51"/>
              </w:rPr>
            </w:pPr>
            <w:r w:rsidRPr="007E73D6">
              <w:rPr>
                <w:rFonts w:ascii="Arial" w:hAnsi="Arial" w:cs="Arial"/>
                <w:color w:val="000000"/>
                <w:kern w:val="36"/>
                <w:sz w:val="51"/>
                <w:szCs w:val="51"/>
              </w:rPr>
              <w:t>Core Businesses</w:t>
            </w:r>
          </w:p>
          <w:p w:rsidR="00864CFB" w:rsidRDefault="00864CFB" w:rsidP="00864CFB">
            <w:pPr>
              <w:shd w:val="clear" w:color="auto" w:fill="FFFFFF"/>
              <w:spacing w:before="100" w:beforeAutospacing="1" w:after="100" w:afterAutospacing="1"/>
              <w:rPr>
                <w:rFonts w:ascii="Arial" w:hAnsi="Arial" w:cs="Arial"/>
                <w:color w:val="000000"/>
                <w:sz w:val="20"/>
                <w:szCs w:val="20"/>
              </w:rPr>
            </w:pPr>
            <w:r>
              <w:rPr>
                <w:noProof/>
              </w:rPr>
              <w:drawing>
                <wp:inline distT="0" distB="0" distL="0" distR="0" wp14:anchorId="034DF95E" wp14:editId="616446F1">
                  <wp:extent cx="4997450" cy="977900"/>
                  <wp:effectExtent l="0" t="0" r="0" b="0"/>
                  <wp:docPr id="10" name="Picture 10" descr="http://media.wiley.com/assets/7317/84/W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wiley.com/assets/7317/84/W_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7185" cy="979805"/>
                          </a:xfrm>
                          <a:prstGeom prst="rect">
                            <a:avLst/>
                          </a:prstGeom>
                          <a:noFill/>
                          <a:ln>
                            <a:noFill/>
                          </a:ln>
                        </pic:spPr>
                      </pic:pic>
                    </a:graphicData>
                  </a:graphic>
                </wp:inline>
              </w:drawing>
            </w:r>
          </w:p>
          <w:p w:rsidR="00864CFB" w:rsidRDefault="00864CFB" w:rsidP="00864CFB">
            <w:pPr>
              <w:shd w:val="clear" w:color="auto" w:fill="FFFFFF"/>
              <w:spacing w:before="100" w:beforeAutospacing="1" w:after="100" w:afterAutospacing="1"/>
              <w:rPr>
                <w:rFonts w:ascii="Arial" w:hAnsi="Arial" w:cs="Arial"/>
                <w:color w:val="000000"/>
                <w:sz w:val="20"/>
                <w:szCs w:val="20"/>
              </w:rPr>
            </w:pPr>
          </w:p>
          <w:p w:rsidR="00864CFB" w:rsidRPr="007E73D6" w:rsidRDefault="00864CFB" w:rsidP="00864CFB">
            <w:pPr>
              <w:shd w:val="clear" w:color="auto" w:fill="FFFFFF"/>
              <w:spacing w:before="100" w:beforeAutospacing="1" w:after="100" w:afterAutospacing="1"/>
              <w:rPr>
                <w:rFonts w:ascii="Arial" w:hAnsi="Arial" w:cs="Arial"/>
                <w:color w:val="000000"/>
                <w:sz w:val="22"/>
                <w:szCs w:val="22"/>
                <w:shd w:val="clear" w:color="auto" w:fill="FFFFFF"/>
              </w:rPr>
            </w:pPr>
            <w:r w:rsidRPr="007E73D6">
              <w:rPr>
                <w:rFonts w:ascii="Arial" w:hAnsi="Arial" w:cs="Arial"/>
                <w:color w:val="000000"/>
                <w:sz w:val="22"/>
                <w:szCs w:val="22"/>
              </w:rPr>
              <w:t>Wiley's Global Research business is a provider of content-enabled solutions to improve outcomes in research, education and professional practice with online tools, journals, books, databases, reference</w:t>
            </w:r>
            <w:r w:rsidRPr="006F03FC">
              <w:rPr>
                <w:rFonts w:ascii="Arial" w:hAnsi="Arial" w:cs="Arial"/>
                <w:color w:val="000000"/>
                <w:sz w:val="22"/>
                <w:szCs w:val="22"/>
              </w:rPr>
              <w:t xml:space="preserve"> works and laboratory protocols</w:t>
            </w:r>
            <w:r w:rsidRPr="007E73D6">
              <w:rPr>
                <w:rFonts w:ascii="Arial" w:hAnsi="Arial" w:cs="Arial"/>
                <w:color w:val="000000"/>
                <w:sz w:val="22"/>
                <w:szCs w:val="22"/>
              </w:rPr>
              <w:t xml:space="preserve">. </w:t>
            </w:r>
            <w:r w:rsidRPr="006F03FC">
              <w:rPr>
                <w:rFonts w:ascii="Arial" w:hAnsi="Arial" w:cs="Arial"/>
                <w:color w:val="000000"/>
                <w:sz w:val="22"/>
                <w:szCs w:val="22"/>
                <w:shd w:val="clear" w:color="auto" w:fill="FFFFFF"/>
              </w:rPr>
              <w:t xml:space="preserve">Wiley's Professional Development business creates products and services that help customers become more effective in the workplace and achieve career success. It brings to life the ideas and best practices of thought leaders in business, finance, accounting, workplace learning, </w:t>
            </w:r>
            <w:r w:rsidRPr="006F03FC">
              <w:rPr>
                <w:rFonts w:ascii="Arial" w:hAnsi="Arial" w:cs="Arial"/>
                <w:color w:val="000000"/>
                <w:sz w:val="22"/>
                <w:szCs w:val="22"/>
                <w:shd w:val="clear" w:color="auto" w:fill="FFFFFF"/>
              </w:rPr>
              <w:lastRenderedPageBreak/>
              <w:t xml:space="preserve">management, leadership, technology, behavioral health, engineering/architecture, and education to serve these communities worldwide. Wiley Global Education serves undergraduate, graduate, and advanced placement students, lifelong learners. We publish educational materials in all media, notably through WileyPLUS, our integrated online suite of teaching and learning resources. </w:t>
            </w:r>
          </w:p>
          <w:p w:rsidR="00864CFB" w:rsidRDefault="00864CFB" w:rsidP="00864CFB">
            <w:pPr>
              <w:jc w:val="center"/>
            </w:pPr>
            <w:r>
              <w:rPr>
                <w:noProof/>
              </w:rPr>
              <w:drawing>
                <wp:inline distT="0" distB="0" distL="0" distR="0" wp14:anchorId="5F026371" wp14:editId="79ADD95D">
                  <wp:extent cx="2419350" cy="438150"/>
                  <wp:effectExtent l="0" t="0" r="0" b="0"/>
                  <wp:docPr id="11" name="Picture 1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9350" cy="438150"/>
                          </a:xfrm>
                          <a:prstGeom prst="rect">
                            <a:avLst/>
                          </a:prstGeom>
                          <a:noFill/>
                          <a:ln>
                            <a:noFill/>
                          </a:ln>
                        </pic:spPr>
                      </pic:pic>
                    </a:graphicData>
                  </a:graphic>
                </wp:inline>
              </w:drawing>
            </w:r>
          </w:p>
          <w:p w:rsidR="00864CFB" w:rsidRPr="006F03FC" w:rsidRDefault="00864CFB" w:rsidP="00864CFB">
            <w:pPr>
              <w:rPr>
                <w:rFonts w:ascii="Arial" w:hAnsi="Arial" w:cs="Arial"/>
                <w:color w:val="333333"/>
                <w:sz w:val="22"/>
                <w:szCs w:val="22"/>
                <w:shd w:val="clear" w:color="auto" w:fill="FFFFFF"/>
              </w:rPr>
            </w:pPr>
            <w:r w:rsidRPr="006F03FC">
              <w:rPr>
                <w:rFonts w:ascii="Arial" w:hAnsi="Arial" w:cs="Arial"/>
                <w:color w:val="333333"/>
                <w:sz w:val="22"/>
                <w:szCs w:val="22"/>
                <w:shd w:val="clear" w:color="auto" w:fill="FFFFFF"/>
              </w:rPr>
              <w:t>Roger CPA Review’s learning system is designed with this important philosophy in mind</w:t>
            </w:r>
            <w:r w:rsidR="00FD14EE" w:rsidRPr="006F03FC">
              <w:rPr>
                <w:rFonts w:ascii="Arial" w:hAnsi="Arial" w:cs="Arial"/>
                <w:color w:val="333333"/>
                <w:sz w:val="22"/>
                <w:szCs w:val="22"/>
                <w:shd w:val="clear" w:color="auto" w:fill="FFFFFF"/>
              </w:rPr>
              <w:t>: The key to any success is enjoying what you do</w:t>
            </w:r>
            <w:r w:rsidRPr="006F03FC">
              <w:rPr>
                <w:rFonts w:ascii="Arial" w:hAnsi="Arial" w:cs="Arial"/>
                <w:color w:val="333333"/>
                <w:sz w:val="22"/>
                <w:szCs w:val="22"/>
                <w:shd w:val="clear" w:color="auto" w:fill="FFFFFF"/>
              </w:rPr>
              <w:t>. We take special care to ensure your study process is Efficient, Effective, and - most importantly - Enjoyable, so that you can successfully and seamlessly attain your goal of becoming a CPA.</w:t>
            </w:r>
          </w:p>
          <w:p w:rsidR="00864CFB" w:rsidRDefault="00864CFB" w:rsidP="00864CFB">
            <w:pPr>
              <w:rPr>
                <w:rFonts w:ascii="Arial" w:hAnsi="Arial" w:cs="Arial"/>
                <w:color w:val="333333"/>
                <w:sz w:val="28"/>
                <w:szCs w:val="28"/>
                <w:shd w:val="clear" w:color="auto" w:fill="FFFFFF"/>
              </w:rPr>
            </w:pPr>
          </w:p>
          <w:p w:rsidR="00864CFB" w:rsidRDefault="00864CFB" w:rsidP="00864CFB">
            <w:pPr>
              <w:jc w:val="center"/>
              <w:rPr>
                <w:sz w:val="28"/>
                <w:szCs w:val="28"/>
              </w:rPr>
            </w:pPr>
            <w:r>
              <w:rPr>
                <w:noProof/>
              </w:rPr>
              <w:drawing>
                <wp:inline distT="0" distB="0" distL="0" distR="0" wp14:anchorId="1D78B388" wp14:editId="3A8C2DB7">
                  <wp:extent cx="1381125" cy="809625"/>
                  <wp:effectExtent l="0" t="0" r="9525" b="9525"/>
                  <wp:docPr id="12" name="Picture 12" descr="http://www.lablearning.com/web/images/lab_h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blearning.com/web/images/lab_hom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125" cy="809625"/>
                          </a:xfrm>
                          <a:prstGeom prst="rect">
                            <a:avLst/>
                          </a:prstGeom>
                          <a:noFill/>
                          <a:ln>
                            <a:noFill/>
                          </a:ln>
                        </pic:spPr>
                      </pic:pic>
                    </a:graphicData>
                  </a:graphic>
                </wp:inline>
              </w:drawing>
            </w:r>
          </w:p>
          <w:p w:rsidR="00864CFB" w:rsidRPr="006F03FC" w:rsidRDefault="00864CFB" w:rsidP="00787699">
            <w:pPr>
              <w:pStyle w:val="pagecopy"/>
              <w:spacing w:line="270" w:lineRule="atLeast"/>
              <w:rPr>
                <w:rFonts w:ascii="Arial" w:hAnsi="Arial" w:cs="Arial"/>
                <w:color w:val="3C3E3B"/>
                <w:sz w:val="22"/>
                <w:szCs w:val="22"/>
              </w:rPr>
            </w:pPr>
            <w:r w:rsidRPr="006F03FC">
              <w:rPr>
                <w:rFonts w:ascii="Arial" w:hAnsi="Arial" w:cs="Arial"/>
                <w:color w:val="3C3E3B"/>
                <w:sz w:val="22"/>
                <w:szCs w:val="22"/>
              </w:rPr>
              <w:t>Today, more than two million students have learned the Labyrinth way in community colleges (including credit programs), corporate training, continuing and community education, career and technical education, high schools and other programs. Books are just the beginning, however. They form the core of Labyrinth Learning’s solutions — expansive offerings that also include instructor support materials, integrated learning management tools, and eLearning components. These solutions cover a wide variety of subjects from computers and technology to specific disciplines such as accounting.</w:t>
            </w:r>
          </w:p>
          <w:p w:rsidR="00864CFB" w:rsidRPr="00D13CEF" w:rsidRDefault="00864CFB" w:rsidP="00864CFB">
            <w:pPr>
              <w:pStyle w:val="Text"/>
              <w:jc w:val="center"/>
            </w:pPr>
          </w:p>
        </w:tc>
      </w:tr>
      <w:tr w:rsidR="00497E92" w:rsidRPr="00D13CEF" w:rsidTr="00A576F5">
        <w:trPr>
          <w:trHeight w:val="14011"/>
          <w:jc w:val="center"/>
        </w:trPr>
        <w:tc>
          <w:tcPr>
            <w:tcW w:w="2610" w:type="dxa"/>
            <w:tcBorders>
              <w:top w:val="single" w:sz="2" w:space="0" w:color="435169"/>
              <w:left w:val="single" w:sz="2" w:space="0" w:color="435169"/>
              <w:bottom w:val="single" w:sz="2" w:space="0" w:color="435169"/>
              <w:right w:val="single" w:sz="2" w:space="0" w:color="435169"/>
            </w:tcBorders>
            <w:shd w:val="clear" w:color="auto" w:fill="EAEDF2"/>
            <w:tcMar>
              <w:left w:w="216" w:type="dxa"/>
              <w:right w:w="216" w:type="dxa"/>
            </w:tcMar>
          </w:tcPr>
          <w:p w:rsidR="00497E92" w:rsidRPr="00D13CEF" w:rsidRDefault="003762D4" w:rsidP="00FD4EBE">
            <w:pPr>
              <w:pStyle w:val="CompanyInfo"/>
            </w:pPr>
            <w:r>
              <w:lastRenderedPageBreak/>
              <w:t>2017-2018 Officers</w:t>
            </w:r>
          </w:p>
        </w:tc>
        <w:tc>
          <w:tcPr>
            <w:tcW w:w="8190" w:type="dxa"/>
            <w:tcBorders>
              <w:top w:val="single" w:sz="2" w:space="0" w:color="435169"/>
              <w:left w:val="single" w:sz="2" w:space="0" w:color="435169"/>
              <w:bottom w:val="single" w:sz="2" w:space="0" w:color="435169"/>
              <w:right w:val="single" w:sz="2" w:space="0" w:color="435169"/>
            </w:tcBorders>
          </w:tcPr>
          <w:p w:rsidR="003762D4" w:rsidRPr="003762D4" w:rsidRDefault="003762D4" w:rsidP="003762D4">
            <w:pPr>
              <w:rPr>
                <w:rFonts w:ascii="Times New Roman" w:hAnsi="Times New Roman"/>
                <w:sz w:val="24"/>
              </w:rPr>
            </w:pPr>
            <w:r w:rsidRPr="003762D4">
              <w:rPr>
                <w:rFonts w:ascii="Times New Roman" w:hAnsi="Times New Roman"/>
                <w:sz w:val="24"/>
              </w:rPr>
              <w:t>President</w:t>
            </w:r>
            <w:r w:rsidRPr="003762D4">
              <w:rPr>
                <w:rFonts w:ascii="Times New Roman" w:hAnsi="Times New Roman"/>
                <w:sz w:val="24"/>
              </w:rPr>
              <w:tab/>
            </w:r>
            <w:r w:rsidRPr="003762D4">
              <w:rPr>
                <w:rFonts w:ascii="Times New Roman" w:hAnsi="Times New Roman"/>
                <w:sz w:val="24"/>
              </w:rPr>
              <w:tab/>
            </w:r>
            <w:r w:rsidRPr="003762D4">
              <w:rPr>
                <w:rFonts w:ascii="Times New Roman" w:hAnsi="Times New Roman"/>
                <w:sz w:val="24"/>
              </w:rPr>
              <w:tab/>
              <w:t>Donald L. Ariail, Kennesaw State University</w:t>
            </w:r>
          </w:p>
          <w:p w:rsidR="003762D4" w:rsidRPr="003762D4" w:rsidRDefault="003762D4" w:rsidP="003762D4">
            <w:pPr>
              <w:rPr>
                <w:rFonts w:ascii="Times New Roman" w:hAnsi="Times New Roman"/>
                <w:sz w:val="24"/>
              </w:rPr>
            </w:pPr>
            <w:r w:rsidRPr="003762D4">
              <w:rPr>
                <w:rFonts w:ascii="Times New Roman" w:hAnsi="Times New Roman"/>
                <w:sz w:val="24"/>
              </w:rPr>
              <w:t>Vice President</w:t>
            </w:r>
            <w:r w:rsidRPr="003762D4">
              <w:rPr>
                <w:rFonts w:ascii="Times New Roman" w:hAnsi="Times New Roman"/>
                <w:sz w:val="24"/>
              </w:rPr>
              <w:tab/>
            </w:r>
            <w:r w:rsidRPr="003762D4">
              <w:rPr>
                <w:rFonts w:ascii="Times New Roman" w:hAnsi="Times New Roman"/>
                <w:sz w:val="24"/>
              </w:rPr>
              <w:tab/>
              <w:t xml:space="preserve">            Sandria Stephenson, Kennesaw State </w:t>
            </w:r>
          </w:p>
          <w:p w:rsidR="003762D4" w:rsidRPr="003762D4" w:rsidRDefault="003762D4" w:rsidP="003762D4">
            <w:pPr>
              <w:rPr>
                <w:rFonts w:ascii="Times New Roman" w:hAnsi="Times New Roman"/>
                <w:b/>
                <w:sz w:val="24"/>
              </w:rPr>
            </w:pPr>
            <w:r w:rsidRPr="003762D4">
              <w:rPr>
                <w:rFonts w:ascii="Times New Roman" w:hAnsi="Times New Roman"/>
                <w:sz w:val="24"/>
              </w:rPr>
              <w:t>Treasurer</w:t>
            </w:r>
            <w:r w:rsidRPr="003762D4">
              <w:rPr>
                <w:rFonts w:ascii="Times New Roman" w:hAnsi="Times New Roman"/>
                <w:sz w:val="24"/>
              </w:rPr>
              <w:tab/>
            </w:r>
            <w:r w:rsidRPr="003762D4">
              <w:rPr>
                <w:rFonts w:ascii="Times New Roman" w:hAnsi="Times New Roman"/>
                <w:sz w:val="24"/>
              </w:rPr>
              <w:tab/>
            </w:r>
            <w:r w:rsidRPr="003762D4">
              <w:rPr>
                <w:rFonts w:ascii="Times New Roman" w:hAnsi="Times New Roman"/>
                <w:sz w:val="24"/>
              </w:rPr>
              <w:tab/>
              <w:t xml:space="preserve"> Bill Black, University of North Georgia</w:t>
            </w:r>
          </w:p>
          <w:p w:rsidR="00497E92" w:rsidRPr="003762D4" w:rsidRDefault="003762D4" w:rsidP="003762D4">
            <w:pPr>
              <w:pStyle w:val="Text"/>
              <w:rPr>
                <w:color w:val="auto"/>
              </w:rPr>
            </w:pPr>
            <w:r w:rsidRPr="003762D4">
              <w:rPr>
                <w:rFonts w:ascii="Times New Roman" w:hAnsi="Times New Roman"/>
                <w:color w:val="auto"/>
                <w:sz w:val="24"/>
              </w:rPr>
              <w:t>Secretary</w:t>
            </w:r>
            <w:r w:rsidRPr="003762D4">
              <w:rPr>
                <w:rFonts w:ascii="Times New Roman" w:hAnsi="Times New Roman"/>
                <w:color w:val="auto"/>
                <w:sz w:val="24"/>
              </w:rPr>
              <w:tab/>
            </w:r>
            <w:r w:rsidRPr="003762D4">
              <w:rPr>
                <w:rFonts w:ascii="Times New Roman" w:hAnsi="Times New Roman"/>
                <w:color w:val="auto"/>
                <w:sz w:val="24"/>
              </w:rPr>
              <w:tab/>
              <w:t xml:space="preserve">             Joey Sanders, West Georgia Technical College</w:t>
            </w:r>
          </w:p>
        </w:tc>
      </w:tr>
    </w:tbl>
    <w:p w:rsidR="00BA7758" w:rsidRPr="006D4B92" w:rsidRDefault="00BA7758" w:rsidP="006D4B92"/>
    <w:sectPr w:rsidR="00BA7758"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41" w:rsidRDefault="002F7041">
      <w:r>
        <w:separator/>
      </w:r>
    </w:p>
  </w:endnote>
  <w:endnote w:type="continuationSeparator" w:id="0">
    <w:p w:rsidR="002F7041" w:rsidRDefault="002F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41" w:rsidRDefault="002F7041">
      <w:r>
        <w:separator/>
      </w:r>
    </w:p>
  </w:footnote>
  <w:footnote w:type="continuationSeparator" w:id="0">
    <w:p w:rsidR="002F7041" w:rsidRDefault="002F7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9"/>
      </v:shape>
    </w:pict>
  </w:numPicBullet>
  <w:numPicBullet w:numPicBulletId="1">
    <w:pict>
      <v:shape id="_x0000_i1031" type="#_x0000_t75" style="width:9pt;height:9pt" o:bullet="t">
        <v:imagedata r:id="rId2" o:title="bullet3"/>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467B78"/>
    <w:multiLevelType w:val="multilevel"/>
    <w:tmpl w:val="01F4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581F1C"/>
    <w:multiLevelType w:val="hybridMultilevel"/>
    <w:tmpl w:val="7564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19">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3">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5">
    <w:nsid w:val="7C2A3890"/>
    <w:multiLevelType w:val="hybridMultilevel"/>
    <w:tmpl w:val="79BC995C"/>
    <w:lvl w:ilvl="0" w:tplc="590821B6">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0"/>
  </w:num>
  <w:num w:numId="14">
    <w:abstractNumId w:val="13"/>
  </w:num>
  <w:num w:numId="15">
    <w:abstractNumId w:val="21"/>
  </w:num>
  <w:num w:numId="16">
    <w:abstractNumId w:val="20"/>
  </w:num>
  <w:num w:numId="17">
    <w:abstractNumId w:val="14"/>
  </w:num>
  <w:num w:numId="18">
    <w:abstractNumId w:val="23"/>
  </w:num>
  <w:num w:numId="19">
    <w:abstractNumId w:val="19"/>
  </w:num>
  <w:num w:numId="20">
    <w:abstractNumId w:val="22"/>
  </w:num>
  <w:num w:numId="21">
    <w:abstractNumId w:val="18"/>
  </w:num>
  <w:num w:numId="22">
    <w:abstractNumId w:val="15"/>
  </w:num>
  <w:num w:numId="23">
    <w:abstractNumId w:val="24"/>
  </w:num>
  <w:num w:numId="24">
    <w:abstractNumId w:val="19"/>
    <w:lvlOverride w:ilvl="0">
      <w:startOverride w:val="1"/>
    </w:lvlOverride>
  </w:num>
  <w:num w:numId="25">
    <w:abstractNumId w:val="12"/>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79"/>
    <w:rsid w:val="0003518C"/>
    <w:rsid w:val="00051180"/>
    <w:rsid w:val="00064766"/>
    <w:rsid w:val="00070E23"/>
    <w:rsid w:val="00074D3D"/>
    <w:rsid w:val="00075861"/>
    <w:rsid w:val="00085F7A"/>
    <w:rsid w:val="00086B79"/>
    <w:rsid w:val="00090322"/>
    <w:rsid w:val="00092788"/>
    <w:rsid w:val="000A2671"/>
    <w:rsid w:val="000A3A98"/>
    <w:rsid w:val="000A3BC1"/>
    <w:rsid w:val="000D4835"/>
    <w:rsid w:val="000E08DB"/>
    <w:rsid w:val="000F4D30"/>
    <w:rsid w:val="001009B6"/>
    <w:rsid w:val="00101634"/>
    <w:rsid w:val="00130AD8"/>
    <w:rsid w:val="001411AC"/>
    <w:rsid w:val="001609F2"/>
    <w:rsid w:val="001657CD"/>
    <w:rsid w:val="00172445"/>
    <w:rsid w:val="001935B5"/>
    <w:rsid w:val="0019438C"/>
    <w:rsid w:val="001B72A7"/>
    <w:rsid w:val="001F2C46"/>
    <w:rsid w:val="00217F94"/>
    <w:rsid w:val="00227DC8"/>
    <w:rsid w:val="002376C1"/>
    <w:rsid w:val="00265162"/>
    <w:rsid w:val="00297759"/>
    <w:rsid w:val="002A39B1"/>
    <w:rsid w:val="002A5BC5"/>
    <w:rsid w:val="002B27C5"/>
    <w:rsid w:val="002F2E42"/>
    <w:rsid w:val="002F436D"/>
    <w:rsid w:val="002F7041"/>
    <w:rsid w:val="00313CEB"/>
    <w:rsid w:val="00314703"/>
    <w:rsid w:val="0032042F"/>
    <w:rsid w:val="003507D4"/>
    <w:rsid w:val="003514B1"/>
    <w:rsid w:val="003538AD"/>
    <w:rsid w:val="003604CF"/>
    <w:rsid w:val="00362336"/>
    <w:rsid w:val="00375FA0"/>
    <w:rsid w:val="003762D4"/>
    <w:rsid w:val="003837F0"/>
    <w:rsid w:val="00385924"/>
    <w:rsid w:val="00393C77"/>
    <w:rsid w:val="00394749"/>
    <w:rsid w:val="003C1FB6"/>
    <w:rsid w:val="003E044C"/>
    <w:rsid w:val="00403761"/>
    <w:rsid w:val="0040733B"/>
    <w:rsid w:val="00426D68"/>
    <w:rsid w:val="00435B89"/>
    <w:rsid w:val="004501FD"/>
    <w:rsid w:val="004575B3"/>
    <w:rsid w:val="0046652A"/>
    <w:rsid w:val="00471019"/>
    <w:rsid w:val="00474941"/>
    <w:rsid w:val="004779A1"/>
    <w:rsid w:val="004837CA"/>
    <w:rsid w:val="00485020"/>
    <w:rsid w:val="00490897"/>
    <w:rsid w:val="004912F9"/>
    <w:rsid w:val="00496FEB"/>
    <w:rsid w:val="00497E92"/>
    <w:rsid w:val="004A2143"/>
    <w:rsid w:val="004C0892"/>
    <w:rsid w:val="004F1207"/>
    <w:rsid w:val="004F5F4C"/>
    <w:rsid w:val="0050069F"/>
    <w:rsid w:val="005115BC"/>
    <w:rsid w:val="005263A8"/>
    <w:rsid w:val="0053760E"/>
    <w:rsid w:val="00557BD2"/>
    <w:rsid w:val="005869E2"/>
    <w:rsid w:val="005C1B5F"/>
    <w:rsid w:val="005C4E60"/>
    <w:rsid w:val="005C58A0"/>
    <w:rsid w:val="005E288D"/>
    <w:rsid w:val="005F5DAE"/>
    <w:rsid w:val="005F61E5"/>
    <w:rsid w:val="00604FD2"/>
    <w:rsid w:val="0063006B"/>
    <w:rsid w:val="00643511"/>
    <w:rsid w:val="0064627A"/>
    <w:rsid w:val="00652A06"/>
    <w:rsid w:val="00653400"/>
    <w:rsid w:val="0065641A"/>
    <w:rsid w:val="0068568F"/>
    <w:rsid w:val="00696EEC"/>
    <w:rsid w:val="006A1A2A"/>
    <w:rsid w:val="006B50D1"/>
    <w:rsid w:val="006D04B6"/>
    <w:rsid w:val="006D4B92"/>
    <w:rsid w:val="006E1BBE"/>
    <w:rsid w:val="006E49AF"/>
    <w:rsid w:val="006F03FC"/>
    <w:rsid w:val="006F7014"/>
    <w:rsid w:val="007054EA"/>
    <w:rsid w:val="007116E8"/>
    <w:rsid w:val="00716B9B"/>
    <w:rsid w:val="00722783"/>
    <w:rsid w:val="007403B4"/>
    <w:rsid w:val="007421E9"/>
    <w:rsid w:val="00745B87"/>
    <w:rsid w:val="00751DE9"/>
    <w:rsid w:val="007717FC"/>
    <w:rsid w:val="00774297"/>
    <w:rsid w:val="00787699"/>
    <w:rsid w:val="007B3267"/>
    <w:rsid w:val="007B5E6C"/>
    <w:rsid w:val="007C45F7"/>
    <w:rsid w:val="007E0922"/>
    <w:rsid w:val="007F3444"/>
    <w:rsid w:val="00804CB2"/>
    <w:rsid w:val="00810F46"/>
    <w:rsid w:val="008156E3"/>
    <w:rsid w:val="00817403"/>
    <w:rsid w:val="00822CEA"/>
    <w:rsid w:val="008277D9"/>
    <w:rsid w:val="00864CFB"/>
    <w:rsid w:val="00887415"/>
    <w:rsid w:val="0089508A"/>
    <w:rsid w:val="008A747D"/>
    <w:rsid w:val="008B0E99"/>
    <w:rsid w:val="008B556D"/>
    <w:rsid w:val="008E69A6"/>
    <w:rsid w:val="009072FE"/>
    <w:rsid w:val="009234E3"/>
    <w:rsid w:val="00925EDE"/>
    <w:rsid w:val="00947205"/>
    <w:rsid w:val="00960D65"/>
    <w:rsid w:val="009737AB"/>
    <w:rsid w:val="009772A3"/>
    <w:rsid w:val="0099777C"/>
    <w:rsid w:val="00997E74"/>
    <w:rsid w:val="009A0B0E"/>
    <w:rsid w:val="009D2E8A"/>
    <w:rsid w:val="009D3C70"/>
    <w:rsid w:val="009D6DF0"/>
    <w:rsid w:val="009E43AA"/>
    <w:rsid w:val="009E6DBC"/>
    <w:rsid w:val="009F2C20"/>
    <w:rsid w:val="00A00946"/>
    <w:rsid w:val="00A129DA"/>
    <w:rsid w:val="00A13376"/>
    <w:rsid w:val="00A239FF"/>
    <w:rsid w:val="00A33FD9"/>
    <w:rsid w:val="00A4336D"/>
    <w:rsid w:val="00A467DC"/>
    <w:rsid w:val="00A576F5"/>
    <w:rsid w:val="00A62A3B"/>
    <w:rsid w:val="00A65825"/>
    <w:rsid w:val="00AA24EA"/>
    <w:rsid w:val="00AA2ACD"/>
    <w:rsid w:val="00AA4EAD"/>
    <w:rsid w:val="00AA5D8A"/>
    <w:rsid w:val="00AC5277"/>
    <w:rsid w:val="00AD0F00"/>
    <w:rsid w:val="00AF719F"/>
    <w:rsid w:val="00B1142E"/>
    <w:rsid w:val="00B1350E"/>
    <w:rsid w:val="00B26B7F"/>
    <w:rsid w:val="00B26F7F"/>
    <w:rsid w:val="00B2782C"/>
    <w:rsid w:val="00B33D39"/>
    <w:rsid w:val="00B94CCA"/>
    <w:rsid w:val="00BA48F3"/>
    <w:rsid w:val="00BA7758"/>
    <w:rsid w:val="00BB43BB"/>
    <w:rsid w:val="00BC3747"/>
    <w:rsid w:val="00BC410E"/>
    <w:rsid w:val="00BC5639"/>
    <w:rsid w:val="00BE7FB2"/>
    <w:rsid w:val="00C00C5C"/>
    <w:rsid w:val="00C24DB3"/>
    <w:rsid w:val="00C30E40"/>
    <w:rsid w:val="00C65524"/>
    <w:rsid w:val="00C6583C"/>
    <w:rsid w:val="00C65F9B"/>
    <w:rsid w:val="00C72891"/>
    <w:rsid w:val="00C76596"/>
    <w:rsid w:val="00C92F32"/>
    <w:rsid w:val="00C930A4"/>
    <w:rsid w:val="00C9365E"/>
    <w:rsid w:val="00C942A8"/>
    <w:rsid w:val="00CA6FC4"/>
    <w:rsid w:val="00CC6A3A"/>
    <w:rsid w:val="00CD43D3"/>
    <w:rsid w:val="00CE0112"/>
    <w:rsid w:val="00D13CEF"/>
    <w:rsid w:val="00D22B6D"/>
    <w:rsid w:val="00D50EE3"/>
    <w:rsid w:val="00D62800"/>
    <w:rsid w:val="00D67365"/>
    <w:rsid w:val="00D80DF0"/>
    <w:rsid w:val="00D86C12"/>
    <w:rsid w:val="00D87AC2"/>
    <w:rsid w:val="00D97EAB"/>
    <w:rsid w:val="00DA1663"/>
    <w:rsid w:val="00DA4706"/>
    <w:rsid w:val="00DB055B"/>
    <w:rsid w:val="00DB79F6"/>
    <w:rsid w:val="00DC1EC5"/>
    <w:rsid w:val="00DC2C60"/>
    <w:rsid w:val="00DD1BCB"/>
    <w:rsid w:val="00DD4EFB"/>
    <w:rsid w:val="00DF5FF0"/>
    <w:rsid w:val="00E03FFE"/>
    <w:rsid w:val="00E15484"/>
    <w:rsid w:val="00E31745"/>
    <w:rsid w:val="00E34E4F"/>
    <w:rsid w:val="00E41F9A"/>
    <w:rsid w:val="00E53DE6"/>
    <w:rsid w:val="00E5503C"/>
    <w:rsid w:val="00E645C6"/>
    <w:rsid w:val="00E654F0"/>
    <w:rsid w:val="00E742BB"/>
    <w:rsid w:val="00E847F0"/>
    <w:rsid w:val="00EB0479"/>
    <w:rsid w:val="00EB1EE7"/>
    <w:rsid w:val="00EE2F96"/>
    <w:rsid w:val="00F129C5"/>
    <w:rsid w:val="00F30BDC"/>
    <w:rsid w:val="00F3394D"/>
    <w:rsid w:val="00F5232E"/>
    <w:rsid w:val="00F70B57"/>
    <w:rsid w:val="00F77124"/>
    <w:rsid w:val="00F90583"/>
    <w:rsid w:val="00F965CC"/>
    <w:rsid w:val="00FA391B"/>
    <w:rsid w:val="00FA4BD6"/>
    <w:rsid w:val="00FC0C67"/>
    <w:rsid w:val="00FC6080"/>
    <w:rsid w:val="00FD14EE"/>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uiPriority w:val="39"/>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styleId="Hyperlink">
    <w:name w:val="Hyperlink"/>
    <w:basedOn w:val="DefaultParagraphFont"/>
    <w:uiPriority w:val="99"/>
    <w:unhideWhenUsed/>
    <w:rsid w:val="00A576F5"/>
    <w:rPr>
      <w:color w:val="0000FF" w:themeColor="hyperlink"/>
      <w:u w:val="single"/>
    </w:rPr>
  </w:style>
  <w:style w:type="paragraph" w:customStyle="1" w:styleId="pagecopy">
    <w:name w:val="page_copy"/>
    <w:basedOn w:val="Normal"/>
    <w:rsid w:val="00864CFB"/>
    <w:pPr>
      <w:spacing w:before="100" w:beforeAutospacing="1" w:after="100" w:afterAutospacing="1"/>
    </w:pPr>
    <w:rPr>
      <w:rFonts w:ascii="Times New Roman" w:hAnsi="Times New Roman"/>
      <w:sz w:val="24"/>
    </w:rPr>
  </w:style>
  <w:style w:type="character" w:customStyle="1" w:styleId="desctiptiontext">
    <w:name w:val="desctiptiontext"/>
    <w:basedOn w:val="DefaultParagraphFont"/>
    <w:rsid w:val="00385924"/>
  </w:style>
  <w:style w:type="paragraph" w:styleId="NormalWeb">
    <w:name w:val="Normal (Web)"/>
    <w:basedOn w:val="Normal"/>
    <w:uiPriority w:val="99"/>
    <w:unhideWhenUsed/>
    <w:rsid w:val="0038592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85924"/>
    <w:rPr>
      <w:b/>
      <w:bCs/>
    </w:rPr>
  </w:style>
  <w:style w:type="paragraph" w:styleId="ListParagraph">
    <w:name w:val="List Paragraph"/>
    <w:basedOn w:val="Normal"/>
    <w:uiPriority w:val="34"/>
    <w:qFormat/>
    <w:rsid w:val="009737AB"/>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uiPriority w:val="39"/>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styleId="Hyperlink">
    <w:name w:val="Hyperlink"/>
    <w:basedOn w:val="DefaultParagraphFont"/>
    <w:uiPriority w:val="99"/>
    <w:unhideWhenUsed/>
    <w:rsid w:val="00A576F5"/>
    <w:rPr>
      <w:color w:val="0000FF" w:themeColor="hyperlink"/>
      <w:u w:val="single"/>
    </w:rPr>
  </w:style>
  <w:style w:type="paragraph" w:customStyle="1" w:styleId="pagecopy">
    <w:name w:val="page_copy"/>
    <w:basedOn w:val="Normal"/>
    <w:rsid w:val="00864CFB"/>
    <w:pPr>
      <w:spacing w:before="100" w:beforeAutospacing="1" w:after="100" w:afterAutospacing="1"/>
    </w:pPr>
    <w:rPr>
      <w:rFonts w:ascii="Times New Roman" w:hAnsi="Times New Roman"/>
      <w:sz w:val="24"/>
    </w:rPr>
  </w:style>
  <w:style w:type="character" w:customStyle="1" w:styleId="desctiptiontext">
    <w:name w:val="desctiptiontext"/>
    <w:basedOn w:val="DefaultParagraphFont"/>
    <w:rsid w:val="00385924"/>
  </w:style>
  <w:style w:type="paragraph" w:styleId="NormalWeb">
    <w:name w:val="Normal (Web)"/>
    <w:basedOn w:val="Normal"/>
    <w:uiPriority w:val="99"/>
    <w:unhideWhenUsed/>
    <w:rsid w:val="0038592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85924"/>
    <w:rPr>
      <w:b/>
      <w:bCs/>
    </w:rPr>
  </w:style>
  <w:style w:type="paragraph" w:styleId="ListParagraph">
    <w:name w:val="List Paragraph"/>
    <w:basedOn w:val="Normal"/>
    <w:uiPriority w:val="34"/>
    <w:qFormat/>
    <w:rsid w:val="009737A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6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mmond@gscpa.org" TargetMode="External"/><Relationship Id="rId5" Type="http://schemas.openxmlformats.org/officeDocument/2006/relationships/webSettings" Target="webSettings.xml"/><Relationship Id="rId15" Type="http://schemas.openxmlformats.org/officeDocument/2006/relationships/hyperlink" Target="http://www.cengage.com" TargetMode="External"/><Relationship Id="rId10" Type="http://schemas.openxmlformats.org/officeDocument/2006/relationships/image" Target="media/image5.pn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 newsletter</Template>
  <TotalTime>52</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2004-01-14T13:56:00Z</cp:lastPrinted>
  <dcterms:created xsi:type="dcterms:W3CDTF">2017-08-27T17:47:00Z</dcterms:created>
  <dcterms:modified xsi:type="dcterms:W3CDTF">2017-10-09T14:26:00Z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